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71C8" w14:textId="3BCA6E88" w:rsidR="00E73DF8" w:rsidRDefault="001025CA">
      <w:pPr>
        <w:rPr>
          <w:rFonts w:ascii="Arial" w:hAnsi="Arial" w:cs="Arial"/>
          <w:lang w:val="en-US"/>
        </w:rPr>
      </w:pPr>
      <w:r>
        <w:rPr>
          <w:rFonts w:ascii="Arial" w:hAnsi="Arial" w:cs="Arial"/>
          <w:lang w:val="en-US"/>
        </w:rPr>
        <w:t>Mouse</w:t>
      </w:r>
      <w:r w:rsidR="00A70AB8" w:rsidRPr="00E12B45">
        <w:rPr>
          <w:rFonts w:ascii="Arial" w:hAnsi="Arial" w:cs="Arial"/>
          <w:lang w:val="en-US"/>
        </w:rPr>
        <w:t xml:space="preserve"> messenger-RBP sgRNA library</w:t>
      </w:r>
      <w:r w:rsidR="00001C27">
        <w:rPr>
          <w:rFonts w:ascii="Arial" w:hAnsi="Arial" w:cs="Arial"/>
          <w:lang w:val="en-US"/>
        </w:rPr>
        <w:t xml:space="preserve"> protocols</w:t>
      </w:r>
    </w:p>
    <w:p w14:paraId="03078B73" w14:textId="77777777" w:rsidR="00B75D9C" w:rsidRDefault="00B75D9C">
      <w:pPr>
        <w:rPr>
          <w:rFonts w:ascii="Arial" w:hAnsi="Arial" w:cs="Arial"/>
          <w:lang w:val="en-US"/>
        </w:rPr>
      </w:pPr>
    </w:p>
    <w:p w14:paraId="44CCF3A1" w14:textId="77391B4D" w:rsidR="0050139F" w:rsidRPr="00B75D9C" w:rsidRDefault="00D21B0A">
      <w:pPr>
        <w:rPr>
          <w:rFonts w:ascii="Arial" w:hAnsi="Arial" w:cs="Arial"/>
          <w:b/>
          <w:bCs/>
          <w:lang w:val="en-US"/>
        </w:rPr>
      </w:pPr>
      <w:r w:rsidRPr="00B75D9C">
        <w:rPr>
          <w:rFonts w:ascii="Arial" w:hAnsi="Arial" w:cs="Arial"/>
          <w:b/>
          <w:bCs/>
          <w:lang w:val="en-US"/>
        </w:rPr>
        <w:t>Amplification</w:t>
      </w:r>
    </w:p>
    <w:p w14:paraId="460CA5FA" w14:textId="1FADBC34" w:rsidR="007F1FD8" w:rsidRDefault="00D30CF8" w:rsidP="00D30CF8">
      <w:pPr>
        <w:spacing w:line="360" w:lineRule="auto"/>
        <w:rPr>
          <w:rFonts w:ascii="Arial" w:hAnsi="Arial" w:cs="Arial"/>
        </w:rPr>
      </w:pPr>
      <w:r w:rsidRPr="00D30CF8">
        <w:rPr>
          <w:rFonts w:ascii="Arial" w:hAnsi="Arial" w:cs="Arial"/>
        </w:rPr>
        <w:t>The library can be amplified in high efficiency electrocompetent bacteria such as Stbl4 (Thermo Scientific #11635018) or Endura (</w:t>
      </w:r>
      <w:proofErr w:type="spellStart"/>
      <w:r w:rsidRPr="00D30CF8">
        <w:rPr>
          <w:rFonts w:ascii="Arial" w:hAnsi="Arial" w:cs="Arial"/>
        </w:rPr>
        <w:t>Lucigen</w:t>
      </w:r>
      <w:proofErr w:type="spellEnd"/>
      <w:r w:rsidRPr="00D30CF8">
        <w:rPr>
          <w:rFonts w:ascii="Arial" w:hAnsi="Arial" w:cs="Arial"/>
        </w:rPr>
        <w:t xml:space="preserve"> #60242) following the manufacturer’s instructions. Electroporated bacteria should be plated on LB-AMP (50-100µM) across several large plates (Corning #CLS431272-16EA). Coverage of the library will require around 1-5x10</w:t>
      </w:r>
      <w:r w:rsidRPr="00D30CF8">
        <w:rPr>
          <w:rFonts w:ascii="Arial" w:hAnsi="Arial" w:cs="Arial"/>
          <w:vertAlign w:val="superscript"/>
        </w:rPr>
        <w:t>6</w:t>
      </w:r>
      <w:r w:rsidRPr="00D30CF8">
        <w:rPr>
          <w:rFonts w:ascii="Arial" w:hAnsi="Arial" w:cs="Arial"/>
        </w:rPr>
        <w:t xml:space="preserve"> bacterial colonies. After overnight incubation, the bacteria can be harvested with help of LB broth media and a razor blade. Then, the plasmid DNA can be isolated with a maxiprep kit (Qiagen®: 12162) following the manufacture’s protocol.</w:t>
      </w:r>
    </w:p>
    <w:p w14:paraId="6719CA84" w14:textId="77777777" w:rsidR="00C2576C" w:rsidRPr="00D30CF8" w:rsidRDefault="00C2576C" w:rsidP="00D30CF8">
      <w:pPr>
        <w:spacing w:line="360" w:lineRule="auto"/>
        <w:rPr>
          <w:rFonts w:ascii="Arial" w:hAnsi="Arial" w:cs="Arial"/>
          <w:lang w:val="en-US"/>
        </w:rPr>
      </w:pPr>
    </w:p>
    <w:p w14:paraId="76F09C4A" w14:textId="3F57C20D" w:rsidR="00935681" w:rsidRPr="00935681" w:rsidRDefault="00FB1784" w:rsidP="00935681">
      <w:pPr>
        <w:rPr>
          <w:rFonts w:ascii="Arial" w:hAnsi="Arial" w:cs="Arial"/>
          <w:b/>
          <w:bCs/>
          <w:lang w:val="en-US"/>
        </w:rPr>
      </w:pPr>
      <w:r w:rsidRPr="00677A16">
        <w:rPr>
          <w:rFonts w:ascii="Arial" w:hAnsi="Arial" w:cs="Arial"/>
          <w:b/>
          <w:bCs/>
          <w:lang w:val="en-US"/>
        </w:rPr>
        <w:t>NGS sequencing</w:t>
      </w:r>
    </w:p>
    <w:p w14:paraId="1F2D1CA7" w14:textId="77777777" w:rsidR="00935460" w:rsidRDefault="00DD454D" w:rsidP="00935460">
      <w:pPr>
        <w:spacing w:line="360" w:lineRule="auto"/>
        <w:jc w:val="both"/>
        <w:rPr>
          <w:rFonts w:ascii="Arial" w:hAnsi="Arial" w:cs="Arial"/>
        </w:rPr>
      </w:pPr>
      <w:r>
        <w:rPr>
          <w:rFonts w:ascii="Arial" w:hAnsi="Arial" w:cs="Arial"/>
        </w:rPr>
        <w:t>We recommend that g</w:t>
      </w:r>
      <w:r w:rsidR="001E2732" w:rsidRPr="00AC0722">
        <w:rPr>
          <w:rFonts w:ascii="Arial" w:hAnsi="Arial" w:cs="Arial"/>
        </w:rPr>
        <w:t xml:space="preserve">enomic DNA (gDNA) </w:t>
      </w:r>
      <w:r>
        <w:rPr>
          <w:rFonts w:ascii="Arial" w:hAnsi="Arial" w:cs="Arial"/>
        </w:rPr>
        <w:t>is</w:t>
      </w:r>
      <w:r w:rsidR="001E2732" w:rsidRPr="00AC0722">
        <w:rPr>
          <w:rFonts w:ascii="Arial" w:hAnsi="Arial" w:cs="Arial"/>
        </w:rPr>
        <w:t xml:space="preserve"> isolated as previously described</w:t>
      </w:r>
      <w:r w:rsidR="001E2732" w:rsidRPr="00AC0722">
        <w:rPr>
          <w:rFonts w:ascii="Arial" w:hAnsi="Arial" w:cs="Arial"/>
        </w:rPr>
        <w:fldChar w:fldCharType="begin" w:fldLock="1"/>
      </w:r>
      <w:r w:rsidR="001825AC">
        <w:rPr>
          <w:rFonts w:ascii="Arial" w:hAnsi="Arial" w:cs="Arial"/>
        </w:rPr>
        <w:instrText>ADDIN CSL_CITATION {"citationItems":[{"id":"ITEM-1","itemData":{"DOI":"10.1016/j.cell.2015.02.038","ISSN":"10974172","PMID":"25748654","abstract":"Genetic screens are powerful tools for identifying genes responsible for diverse phenotypes. Here we describe a genome-wide CRISPR/Cas9-mediated loss-of-function screen in tumor growth and metastasis. We mutagenized a non-metastatic mouse cancer cell line using a genome-scale library with 67,405 single-guide RNAs (sgRNAs). The mutant cell pool rapidly generates metastases when transplanted into immunocompromised mice. Enriched sgRNAs in lung metastases and late-stage primary tumors were found to target a small set of genes, suggesting that specific loss-of-function mutations drive tumor growth and metastasis. Individual sgRNAs and a small pool of 624 sgRNAs targeting the top-scoring genes from the primary screen dramatically accelerate metastasis. In all of these experiments, the effect of mutations on primary tumor growth positively correlates with the development of metastases. Our study demonstrates Cas9-based screening as a robust method to systematically assay gene phenotypes in cancer evolution in vivo.","author":[{"dropping-particle":"","family":"Chen","given":"Sidi","non-dropping-particle":"","parse-names":false,"suffix":""},{"dropping-particle":"","family":"Sanjana","given":"Neville E.","non-dropping-particle":"","parse-names":false,"suffix":""},{"dropping-particle":"","family":"Zheng","given":"Kaijie","non-dropping-particle":"","parse-names":false,"suffix":""},{"dropping-particle":"","family":"Shalem","given":"Ophir","non-dropping-particle":"","parse-names":false,"suffix":""},{"dropping-particle":"","family":"Lee","given":"Kyungheon","non-dropping-particle":"","parse-names":false,"suffix":""},{"dropping-particle":"","family":"Shi","given":"Xi","non-dropping-particle":"","parse-names":false,"suffix":""},{"dropping-particle":"","family":"Scott","given":"David A.","non-dropping-particle":"","parse-names":false,"suffix":""},{"dropping-particle":"","family":"Song","given":"Jun","non-dropping-particle":"","parse-names":false,"suffix":""},{"dropping-particle":"","family":"Pan","given":"Jen Q.","non-dropping-particle":"","parse-names":false,"suffix":""},{"dropping-particle":"","family":"Weissleder","given":"Ralph","non-dropping-particle":"","parse-names":false,"suffix":""},{"dropping-particle":"","family":"Lee","given":"Hakho","non-dropping-particle":"","parse-names":false,"suffix":""},{"dropping-particle":"","family":"Zhang","given":"Feng","non-dropping-particle":"","parse-names":false,"suffix":""},{"dropping-particle":"","family":"Sharp","given":"Phillip A.","non-dropping-particle":"","parse-names":false,"suffix":""}],"container-title":"Cell","id":"ITEM-1","issued":{"date-parts":[["2015"]]},"title":"Genome-wide CRISPR screen in a mouse model of tumor growth and metastasis","type":"article-journal"},"uris":["http://www.mendeley.com/documents/?uuid=097a5988-1132-4f26-aeb1-288c7fcef28d"]}],"mendeley":{"formattedCitation":"&lt;sup&gt;1&lt;/sup&gt;","plainTextFormattedCitation":"1","previouslyFormattedCitation":"&lt;sup&gt;1&lt;/sup&gt;"},"properties":{"noteIndex":0},"schema":"https://github.com/citation-style-language/schema/raw/master/csl-citation.json"}</w:instrText>
      </w:r>
      <w:r w:rsidR="001E2732" w:rsidRPr="00AC0722">
        <w:rPr>
          <w:rFonts w:ascii="Arial" w:hAnsi="Arial" w:cs="Arial"/>
        </w:rPr>
        <w:fldChar w:fldCharType="separate"/>
      </w:r>
      <w:r w:rsidR="001825AC" w:rsidRPr="001825AC">
        <w:rPr>
          <w:rFonts w:ascii="Arial" w:hAnsi="Arial" w:cs="Arial"/>
          <w:noProof/>
          <w:vertAlign w:val="superscript"/>
        </w:rPr>
        <w:t>1</w:t>
      </w:r>
      <w:r w:rsidR="001E2732" w:rsidRPr="00AC0722">
        <w:rPr>
          <w:rFonts w:ascii="Arial" w:hAnsi="Arial" w:cs="Arial"/>
        </w:rPr>
        <w:fldChar w:fldCharType="end"/>
      </w:r>
      <w:r w:rsidR="001E2732" w:rsidRPr="00AC0722">
        <w:rPr>
          <w:rFonts w:ascii="Arial" w:hAnsi="Arial" w:cs="Arial"/>
        </w:rPr>
        <w:t xml:space="preserve">. </w:t>
      </w:r>
      <w:r w:rsidR="00470148">
        <w:rPr>
          <w:rFonts w:ascii="Arial" w:hAnsi="Arial" w:cs="Arial"/>
        </w:rPr>
        <w:t>Then</w:t>
      </w:r>
      <w:r w:rsidR="00B36581">
        <w:rPr>
          <w:rFonts w:ascii="Arial" w:hAnsi="Arial" w:cs="Arial"/>
        </w:rPr>
        <w:t>, n</w:t>
      </w:r>
      <w:r w:rsidR="001E2732" w:rsidRPr="00AC0722">
        <w:rPr>
          <w:rFonts w:ascii="Arial" w:hAnsi="Arial" w:cs="Arial"/>
        </w:rPr>
        <w:t xml:space="preserve">ext generation sequencing (NGS) libraries </w:t>
      </w:r>
      <w:r w:rsidR="00FA5BE9">
        <w:rPr>
          <w:rFonts w:ascii="Arial" w:hAnsi="Arial" w:cs="Arial"/>
        </w:rPr>
        <w:t>are</w:t>
      </w:r>
      <w:r w:rsidR="001E2732" w:rsidRPr="00AC0722">
        <w:rPr>
          <w:rFonts w:ascii="Arial" w:hAnsi="Arial" w:cs="Arial"/>
        </w:rPr>
        <w:t xml:space="preserve"> generated in one round by PCR from 2.5</w:t>
      </w:r>
      <w:r w:rsidR="001E2732" w:rsidRPr="00AC0722">
        <w:rPr>
          <w:rFonts w:ascii="Arial" w:eastAsia="Times New Roman" w:hAnsi="Arial" w:cs="Arial"/>
          <w:color w:val="000000"/>
          <w:lang w:eastAsia="en-GB"/>
        </w:rPr>
        <w:t>µ</w:t>
      </w:r>
      <w:r w:rsidR="001E2732" w:rsidRPr="00AC0722">
        <w:rPr>
          <w:rFonts w:ascii="Arial" w:hAnsi="Arial" w:cs="Arial"/>
        </w:rPr>
        <w:t>g gDNA in 22 cycles with Q5 polymerase following the manufacturer’s protocol</w:t>
      </w:r>
      <w:r w:rsidR="00EA0E71">
        <w:rPr>
          <w:rFonts w:ascii="Arial" w:hAnsi="Arial" w:cs="Arial"/>
        </w:rPr>
        <w:t xml:space="preserve"> with published primers</w:t>
      </w:r>
      <w:r w:rsidR="007441D9">
        <w:rPr>
          <w:rFonts w:ascii="Arial" w:hAnsi="Arial" w:cs="Arial"/>
        </w:rPr>
        <w:fldChar w:fldCharType="begin" w:fldLock="1"/>
      </w:r>
      <w:r w:rsidR="007441D9">
        <w:rPr>
          <w:rFonts w:ascii="Arial" w:hAnsi="Arial" w:cs="Arial"/>
        </w:rPr>
        <w:instrText>ADDIN CSL_CITATION {"citationItems":[{"id":"ITEM-1","itemData":{"DOI":"10.1038/nprot.2017.016","ISSN":"17502799","PMID":"28333914","abstract":"Forward genetic screens are powerful tools for the unbiased discovery and functional characterization of specific genetic elements associated with a phenotype of interest. recently, the rna-guided endonuclease cas9 from the microbial crIspr (clustered regularly interspaced short palindromic repeats) immune system has been adapted for genome-scale screening by combining cas9 with pooled guide rna libraries. Here we describe a protocol for genome-scale knockout and transcriptional activation screening using the crIspr-cas9 system. custom- or ready-made guide rna libraries are constructed and packaged into lentiviral vectors for delivery into cells for screening. as each screen is unique, we provide guidelines for determining screening parameters and maintaining sufficient coverage. to validate candidate genes identified by the screen, we further describe strategies for confirming the screening phenotype, as well as genetic perturbation, through analysis of indel rate and transcriptional activation. Beginning with library design, a genome-scale screen can be completed in 9–15 weeks, followed by 4–5 weeks of validation.","author":[{"dropping-particle":"","family":"Joung","given":"Julia","non-dropping-particle":"","parse-names":false,"suffix":""},{"dropping-particle":"","family":"Konermann","given":"Silvana","non-dropping-particle":"","parse-names":false,"suffix":""},{"dropping-particle":"","family":"Gootenberg","given":"Jonathan S.","non-dropping-particle":"","parse-names":false,"suffix":""},{"dropping-particle":"","family":"Abudayyeh","given":"Omar O.","non-dropping-particle":"","parse-names":false,"suffix":""},{"dropping-particle":"","family":"Platt","given":"Randall J.","non-dropping-particle":"","parse-names":false,"suffix":""},{"dropping-particle":"","family":"Brigham","given":"Mark D.","non-dropping-particle":"","parse-names":false,"suffix":""},{"dropping-particle":"","family":"Sanjana","given":"Neville E.","non-dropping-particle":"","parse-names":false,"suffix":""},{"dropping-particle":"","family":"Zhang","given":"Feng","non-dropping-particle":"","parse-names":false,"suffix":""}],"container-title":"Nature Protocols","id":"ITEM-1","issued":{"date-parts":[["2017"]]},"title":"Genome-scale CRISPR-Cas9 knockout and transcriptional activation screening","type":"article-journal"},"uris":["http://www.mendeley.com/documents/?uuid=42f02dfc-2600-417a-a6cc-77d3dcf50306"]}],"mendeley":{"formattedCitation":"&lt;sup&gt;2&lt;/sup&gt;","plainTextFormattedCitation":"2"},"properties":{"noteIndex":0},"schema":"https://github.com/citation-style-language/schema/raw/master/csl-citation.json"}</w:instrText>
      </w:r>
      <w:r w:rsidR="007441D9">
        <w:rPr>
          <w:rFonts w:ascii="Arial" w:hAnsi="Arial" w:cs="Arial"/>
        </w:rPr>
        <w:fldChar w:fldCharType="separate"/>
      </w:r>
      <w:r w:rsidR="007441D9" w:rsidRPr="007441D9">
        <w:rPr>
          <w:rFonts w:ascii="Arial" w:hAnsi="Arial" w:cs="Arial"/>
          <w:noProof/>
          <w:vertAlign w:val="superscript"/>
        </w:rPr>
        <w:t>2</w:t>
      </w:r>
      <w:r w:rsidR="007441D9">
        <w:rPr>
          <w:rFonts w:ascii="Arial" w:hAnsi="Arial" w:cs="Arial"/>
        </w:rPr>
        <w:fldChar w:fldCharType="end"/>
      </w:r>
      <w:r w:rsidR="001E2732" w:rsidRPr="00AC0722">
        <w:rPr>
          <w:rFonts w:ascii="Arial" w:hAnsi="Arial" w:cs="Arial"/>
        </w:rPr>
        <w:t xml:space="preserve">. </w:t>
      </w:r>
      <w:r w:rsidR="00EF0184">
        <w:rPr>
          <w:rFonts w:ascii="Arial" w:hAnsi="Arial" w:cs="Arial"/>
        </w:rPr>
        <w:t>Then</w:t>
      </w:r>
      <w:r w:rsidR="00FA5BE9">
        <w:rPr>
          <w:rFonts w:ascii="Arial" w:hAnsi="Arial" w:cs="Arial"/>
        </w:rPr>
        <w:t xml:space="preserve">, </w:t>
      </w:r>
      <w:r w:rsidR="001E2732" w:rsidRPr="00AC0722">
        <w:rPr>
          <w:rFonts w:ascii="Arial" w:hAnsi="Arial" w:cs="Arial"/>
        </w:rPr>
        <w:t xml:space="preserve">PCR products </w:t>
      </w:r>
      <w:r w:rsidR="00FA5BE9">
        <w:rPr>
          <w:rFonts w:ascii="Arial" w:hAnsi="Arial" w:cs="Arial"/>
        </w:rPr>
        <w:t>are</w:t>
      </w:r>
      <w:r w:rsidR="001E2732" w:rsidRPr="00AC0722">
        <w:rPr>
          <w:rFonts w:ascii="Arial" w:hAnsi="Arial" w:cs="Arial"/>
        </w:rPr>
        <w:t xml:space="preserve"> concentrated</w:t>
      </w:r>
      <w:r w:rsidR="0004226B">
        <w:rPr>
          <w:rFonts w:ascii="Arial" w:hAnsi="Arial" w:cs="Arial"/>
        </w:rPr>
        <w:t xml:space="preserve"> </w:t>
      </w:r>
      <w:r w:rsidR="001E2732" w:rsidRPr="00AC0722">
        <w:rPr>
          <w:rFonts w:ascii="Arial" w:hAnsi="Arial" w:cs="Arial"/>
        </w:rPr>
        <w:t>(</w:t>
      </w:r>
      <w:proofErr w:type="spellStart"/>
      <w:r w:rsidR="001E2732" w:rsidRPr="00AC0722">
        <w:rPr>
          <w:rFonts w:ascii="Arial" w:hAnsi="Arial" w:cs="Arial"/>
        </w:rPr>
        <w:t>Zymo</w:t>
      </w:r>
      <w:proofErr w:type="spellEnd"/>
      <w:r w:rsidR="001E2732" w:rsidRPr="00AC0722">
        <w:rPr>
          <w:rFonts w:ascii="Arial" w:hAnsi="Arial" w:cs="Arial"/>
        </w:rPr>
        <w:t xml:space="preserve"> Research: D4031), size selected by gel electrophoresis and purified (</w:t>
      </w:r>
      <w:proofErr w:type="spellStart"/>
      <w:r w:rsidR="001E2732" w:rsidRPr="00AC0722">
        <w:rPr>
          <w:rFonts w:ascii="Arial" w:hAnsi="Arial" w:cs="Arial"/>
        </w:rPr>
        <w:t>Zymo</w:t>
      </w:r>
      <w:proofErr w:type="spellEnd"/>
      <w:r w:rsidR="001E2732" w:rsidRPr="00AC0722">
        <w:rPr>
          <w:rFonts w:ascii="Arial" w:hAnsi="Arial" w:cs="Arial"/>
        </w:rPr>
        <w:t xml:space="preserve"> Research: D4005). </w:t>
      </w:r>
    </w:p>
    <w:p w14:paraId="41B524B8" w14:textId="14A52946" w:rsidR="00935460" w:rsidRDefault="00935460" w:rsidP="00935460">
      <w:pPr>
        <w:spacing w:line="360" w:lineRule="auto"/>
        <w:jc w:val="both"/>
        <w:rPr>
          <w:rFonts w:ascii="Arial" w:hAnsi="Arial" w:cs="Arial"/>
        </w:rPr>
      </w:pPr>
      <w:r>
        <w:rPr>
          <w:rFonts w:ascii="Arial" w:hAnsi="Arial" w:cs="Arial"/>
        </w:rPr>
        <w:t>We recommend m</w:t>
      </w:r>
      <w:r w:rsidRPr="00AC0722">
        <w:rPr>
          <w:rFonts w:ascii="Arial" w:hAnsi="Arial" w:cs="Arial"/>
        </w:rPr>
        <w:t xml:space="preserve">ultiplexed NGS libraries </w:t>
      </w:r>
      <w:r>
        <w:rPr>
          <w:rFonts w:ascii="Arial" w:hAnsi="Arial" w:cs="Arial"/>
        </w:rPr>
        <w:t>are</w:t>
      </w:r>
      <w:r w:rsidRPr="00AC0722">
        <w:rPr>
          <w:rFonts w:ascii="Arial" w:hAnsi="Arial" w:cs="Arial"/>
        </w:rPr>
        <w:t xml:space="preserve"> sequenced with an Illumina™ </w:t>
      </w:r>
      <w:proofErr w:type="spellStart"/>
      <w:r w:rsidRPr="00AC0722">
        <w:rPr>
          <w:rFonts w:ascii="Arial" w:hAnsi="Arial" w:cs="Arial"/>
        </w:rPr>
        <w:t>HiSeq</w:t>
      </w:r>
      <w:proofErr w:type="spellEnd"/>
      <w:r w:rsidRPr="00AC0722">
        <w:rPr>
          <w:rFonts w:ascii="Arial" w:hAnsi="Arial" w:cs="Arial"/>
        </w:rPr>
        <w:t xml:space="preserve"> with a </w:t>
      </w:r>
      <w:r>
        <w:rPr>
          <w:rFonts w:ascii="Arial" w:hAnsi="Arial" w:cs="Arial"/>
        </w:rPr>
        <w:t>100</w:t>
      </w:r>
      <w:r w:rsidRPr="00AC0722">
        <w:rPr>
          <w:rFonts w:ascii="Arial" w:hAnsi="Arial" w:cs="Arial"/>
        </w:rPr>
        <w:t xml:space="preserve">bp </w:t>
      </w:r>
      <w:r>
        <w:rPr>
          <w:rFonts w:ascii="Arial" w:hAnsi="Arial" w:cs="Arial"/>
        </w:rPr>
        <w:t>single</w:t>
      </w:r>
      <w:r w:rsidRPr="00AC0722">
        <w:rPr>
          <w:rFonts w:ascii="Arial" w:hAnsi="Arial" w:cs="Arial"/>
        </w:rPr>
        <w:t xml:space="preserve"> end read. </w:t>
      </w:r>
      <w:r>
        <w:rPr>
          <w:rFonts w:ascii="Arial" w:hAnsi="Arial" w:cs="Arial"/>
        </w:rPr>
        <w:t>For our analysis, t</w:t>
      </w:r>
      <w:r w:rsidRPr="001C3B68">
        <w:rPr>
          <w:rFonts w:ascii="Arial" w:hAnsi="Arial" w:cs="Arial"/>
        </w:rPr>
        <w:t xml:space="preserve">he start of the </w:t>
      </w:r>
      <w:proofErr w:type="spellStart"/>
      <w:r w:rsidRPr="001C3B68">
        <w:rPr>
          <w:rFonts w:ascii="Arial" w:hAnsi="Arial" w:cs="Arial"/>
        </w:rPr>
        <w:t>iCRISPR</w:t>
      </w:r>
      <w:proofErr w:type="spellEnd"/>
      <w:r w:rsidRPr="001C3B68">
        <w:rPr>
          <w:rFonts w:ascii="Arial" w:hAnsi="Arial" w:cs="Arial"/>
        </w:rPr>
        <w:t xml:space="preserve"> scaffold sequence (GTTTAAGAGCTAT) within each read was identif</w:t>
      </w:r>
      <w:r>
        <w:rPr>
          <w:rFonts w:ascii="Arial" w:hAnsi="Arial" w:cs="Arial"/>
        </w:rPr>
        <w:t>i</w:t>
      </w:r>
      <w:r w:rsidRPr="001C3B68">
        <w:rPr>
          <w:rFonts w:ascii="Arial" w:hAnsi="Arial" w:cs="Arial"/>
        </w:rPr>
        <w:t>ed, and the reads trimmed to encompass the 19 bases immediately preceding this sequence</w:t>
      </w:r>
      <w:r>
        <w:rPr>
          <w:rFonts w:ascii="Arial" w:hAnsi="Arial" w:cs="Arial"/>
        </w:rPr>
        <w:t>. Bowtie</w:t>
      </w:r>
      <w:r>
        <w:rPr>
          <w:rFonts w:ascii="Arial" w:hAnsi="Arial" w:cs="Arial"/>
        </w:rPr>
        <w:fldChar w:fldCharType="begin" w:fldLock="1"/>
      </w:r>
      <w:r>
        <w:rPr>
          <w:rFonts w:ascii="Arial" w:hAnsi="Arial" w:cs="Arial"/>
        </w:rPr>
        <w:instrText>ADDIN CSL_CITATION {"citationItems":[{"id":"ITEM-1","itemData":{"DOI":"10.1186/gb-2009-10-3-r25","ISSN":"14747596","PMID":"19261174","abstract":"Bowtie is an ultrafast, memory-efficient alignment program for aligning short DNA sequence reads to large genomes. For the human genome, Burrows-Wheeler indexing allows Bowtie to align more than 25 million reads per CPU hour with a memory footprint of approximately 1.3 gigabytes. Bowtie extends previous Burrows-Wheeler techniques with a novel quality-aware backtracking algorithm that permits mismatches. Multiple processor cores can be used simultaneously to achieve even greater alignment speeds. Bowtie is open source http://bowtie.cbcb.umd.edu. © 2009 Langmead et al.; licensee BioMed Central Ltd.","author":[{"dropping-particle":"","family":"Langmead","given":"Ben","non-dropping-particle":"","parse-names":false,"suffix":""},{"dropping-particle":"","family":"Trapnell","given":"Cole","non-dropping-particle":"","parse-names":false,"suffix":""},{"dropping-particle":"","family":"Pop","given":"Mihai","non-dropping-particle":"","parse-names":false,"suffix":""},{"dropping-particle":"","family":"Salzberg","given":"Steven L.","non-dropping-particle":"","parse-names":false,"suffix":""}],"container-title":"Genome Biology","id":"ITEM-1","issued":{"date-parts":[["2009"]]},"title":"Ultrafast and memory-efficient alignment of short DNA sequences to the human genome","type":"article-journal"},"uris":["http://www.mendeley.com/documents/?uuid=4b6e9c7b-fd5b-4621-8c29-7deed7d5618c"]}],"mendeley":{"formattedCitation":"&lt;sup&gt;3&lt;/sup&gt;","plainTextFormattedCitation":"3","previouslyFormattedCitation":"&lt;sup&gt;47&lt;/sup&gt;"},"properties":{"noteIndex":0},"schema":"https://github.com/citation-style-language/schema/raw/master/csl-citation.json"}</w:instrText>
      </w:r>
      <w:r>
        <w:rPr>
          <w:rFonts w:ascii="Arial" w:hAnsi="Arial" w:cs="Arial"/>
        </w:rPr>
        <w:fldChar w:fldCharType="separate"/>
      </w:r>
      <w:r w:rsidRPr="003A03EB">
        <w:rPr>
          <w:rFonts w:ascii="Arial" w:hAnsi="Arial" w:cs="Arial"/>
          <w:noProof/>
          <w:vertAlign w:val="superscript"/>
        </w:rPr>
        <w:t>3</w:t>
      </w:r>
      <w:r>
        <w:rPr>
          <w:rFonts w:ascii="Arial" w:hAnsi="Arial" w:cs="Arial"/>
        </w:rPr>
        <w:fldChar w:fldCharType="end"/>
      </w:r>
      <w:r w:rsidRPr="00AC0722">
        <w:rPr>
          <w:rFonts w:ascii="Arial" w:hAnsi="Arial" w:cs="Arial"/>
        </w:rPr>
        <w:t xml:space="preserve"> was used to</w:t>
      </w:r>
      <w:r>
        <w:rPr>
          <w:rFonts w:ascii="Arial" w:hAnsi="Arial" w:cs="Arial"/>
        </w:rPr>
        <w:t xml:space="preserve"> map these sequences with zero mismatches to a custom genome comprising the sgRNA sequences, and </w:t>
      </w:r>
      <w:proofErr w:type="spellStart"/>
      <w:r>
        <w:rPr>
          <w:rFonts w:ascii="Arial" w:hAnsi="Arial" w:cs="Arial"/>
        </w:rPr>
        <w:t>Seqmonk</w:t>
      </w:r>
      <w:proofErr w:type="spellEnd"/>
      <w:r>
        <w:rPr>
          <w:rFonts w:ascii="Arial" w:hAnsi="Arial" w:cs="Arial"/>
        </w:rPr>
        <w:t xml:space="preserve"> used to quantify the abundance of each</w:t>
      </w:r>
      <w:r w:rsidRPr="00AC0722">
        <w:rPr>
          <w:rFonts w:ascii="Arial" w:hAnsi="Arial" w:cs="Arial"/>
        </w:rPr>
        <w:t xml:space="preserve"> sgRNA</w:t>
      </w:r>
      <w:r w:rsidRPr="00490863">
        <w:rPr>
          <w:rFonts w:ascii="Arial" w:hAnsi="Arial" w:cs="Arial"/>
        </w:rPr>
        <w:t xml:space="preserve"> (</w:t>
      </w:r>
      <w:hyperlink r:id="rId5" w:history="1">
        <w:r w:rsidRPr="00490863">
          <w:rPr>
            <w:rStyle w:val="Hyperlink"/>
            <w:rFonts w:ascii="Arial" w:hAnsi="Arial" w:cs="Arial"/>
          </w:rPr>
          <w:t>https://www.bioinformatics.babraham.ac.uk/projects/seqmonk/</w:t>
        </w:r>
      </w:hyperlink>
      <w:r w:rsidRPr="00490863">
        <w:rPr>
          <w:rFonts w:ascii="Arial" w:hAnsi="Arial" w:cs="Arial"/>
        </w:rPr>
        <w:t>).</w:t>
      </w:r>
      <w:r w:rsidRPr="00AC0722">
        <w:rPr>
          <w:rFonts w:ascii="Arial" w:hAnsi="Arial" w:cs="Arial"/>
        </w:rPr>
        <w:t xml:space="preserve"> Analysis of our genetic screens was performed with the </w:t>
      </w:r>
      <w:proofErr w:type="spellStart"/>
      <w:r w:rsidRPr="00AC0722">
        <w:rPr>
          <w:rFonts w:ascii="Arial" w:hAnsi="Arial" w:cs="Arial"/>
        </w:rPr>
        <w:t>MAGeCK</w:t>
      </w:r>
      <w:proofErr w:type="spellEnd"/>
      <w:r w:rsidRPr="00AC0722">
        <w:rPr>
          <w:rFonts w:ascii="Arial" w:hAnsi="Arial" w:cs="Arial"/>
        </w:rPr>
        <w:t xml:space="preserve"> software</w:t>
      </w:r>
      <w:r w:rsidRPr="00AC0722">
        <w:rPr>
          <w:rFonts w:ascii="Arial" w:hAnsi="Arial" w:cs="Arial"/>
        </w:rPr>
        <w:fldChar w:fldCharType="begin" w:fldLock="1"/>
      </w:r>
      <w:r>
        <w:rPr>
          <w:rFonts w:ascii="Arial" w:hAnsi="Arial" w:cs="Arial"/>
        </w:rPr>
        <w:instrText>ADDIN CSL_CITATION {"citationItems":[{"id":"ITEM-1","itemData":{"DOI":"10.1186/s13059-014-0554-4","ISSN":"1474760X","PMID":"25476604","abstract":"We propose the Model-based Analysis of Genome-wide CRISPR/Cas9 Knockout (MAGeCK) method for prioritizing single-guide RNAs, genes and pathways in genome-scale CRISPR/Cas9 knockout screens. MAGeCK demonstrates better performance compared with existing methods, identifies both positively and negatively selected genes simultaneously, and reports robust results across different experimental conditions. Using public datasets, MAGeCK identified novel essential genes and pathways, including EGFR in vemurafenib-treated A375 cells harboring a BRAF mutation. MAGeCK also detected cell type-specific essential genes, including BCR and ABL1, in KBM7 cells bearing a BCR-ABL fusion, and IGF1R in HL-60 cells, which depends on the insulin signaling pathway for proliferation.","author":[{"dropping-particle":"","family":"Li","given":"Wei","non-dropping-particle":"","parse-names":false,"suffix":""},{"dropping-particle":"","family":"Xu","given":"Han","non-dropping-particle":"","parse-names":false,"suffix":""},{"dropping-particle":"","family":"Xiao","given":"Tengfei","non-dropping-particle":"","parse-names":false,"suffix":""},{"dropping-particle":"","family":"Cong","given":"Le","non-dropping-particle":"","parse-names":false,"suffix":""},{"dropping-particle":"","family":"Love","given":"Michael I.","non-dropping-particle":"","parse-names":false,"suffix":""},{"dropping-particle":"","family":"Zhang","given":"Feng","non-dropping-particle":"","parse-names":false,"suffix":""},{"dropping-particle":"","family":"Irizarry","given":"Rafael A.","non-dropping-particle":"","parse-names":false,"suffix":""},{"dropping-particle":"","family":"Liu","given":"Jun S.","non-dropping-particle":"","parse-names":false,"suffix":""},{"dropping-particle":"","family":"Brown","given":"Myles","non-dropping-particle":"","parse-names":false,"suffix":""},{"dropping-particle":"","family":"Liu","given":"X. Shirley","non-dropping-particle":"","parse-names":false,"suffix":""}],"container-title":"Genome biology","id":"ITEM-1","issued":{"date-parts":[["2014"]]},"title":"MAGeCK enables robust identification of essential genes from genome-scale CRISPR/Cas9 knockout screens","type":"article-journal"},"uris":["http://www.mendeley.com/documents/?uuid=ddb27508-3c4d-489a-8fc8-aaffef0f4e1e"]}],"mendeley":{"formattedCitation":"&lt;sup&gt;4&lt;/sup&gt;","plainTextFormattedCitation":"4","previouslyFormattedCitation":"&lt;sup&gt;48&lt;/sup&gt;"},"properties":{"noteIndex":0},"schema":"https://github.com/citation-style-language/schema/raw/master/csl-citation.json"}</w:instrText>
      </w:r>
      <w:r w:rsidRPr="00AC0722">
        <w:rPr>
          <w:rFonts w:ascii="Arial" w:hAnsi="Arial" w:cs="Arial"/>
        </w:rPr>
        <w:fldChar w:fldCharType="separate"/>
      </w:r>
      <w:r w:rsidRPr="003A03EB">
        <w:rPr>
          <w:rFonts w:ascii="Arial" w:hAnsi="Arial" w:cs="Arial"/>
          <w:noProof/>
          <w:vertAlign w:val="superscript"/>
        </w:rPr>
        <w:t>4</w:t>
      </w:r>
      <w:r w:rsidRPr="00AC0722">
        <w:rPr>
          <w:rFonts w:ascii="Arial" w:hAnsi="Arial" w:cs="Arial"/>
        </w:rPr>
        <w:fldChar w:fldCharType="end"/>
      </w:r>
      <w:r w:rsidRPr="00AC0722">
        <w:rPr>
          <w:rFonts w:ascii="Arial" w:hAnsi="Arial" w:cs="Arial"/>
        </w:rPr>
        <w:t>.</w:t>
      </w:r>
    </w:p>
    <w:p w14:paraId="7ED29733" w14:textId="77777777" w:rsidR="00717A05" w:rsidRDefault="00717A05">
      <w:pPr>
        <w:rPr>
          <w:rFonts w:ascii="Arial" w:hAnsi="Arial" w:cs="Arial"/>
          <w:lang w:val="en-US"/>
        </w:rPr>
      </w:pPr>
    </w:p>
    <w:p w14:paraId="3C446911" w14:textId="79BDCF74" w:rsidR="007441D9" w:rsidRPr="007441D9" w:rsidRDefault="001825AC" w:rsidP="007441D9">
      <w:pPr>
        <w:widowControl w:val="0"/>
        <w:autoSpaceDE w:val="0"/>
        <w:autoSpaceDN w:val="0"/>
        <w:adjustRightInd w:val="0"/>
        <w:spacing w:line="240" w:lineRule="auto"/>
        <w:ind w:left="640" w:hanging="640"/>
        <w:rPr>
          <w:rFonts w:ascii="Arial" w:hAnsi="Arial" w:cs="Arial"/>
          <w:noProof/>
          <w:szCs w:val="24"/>
        </w:rPr>
      </w:pPr>
      <w:r>
        <w:rPr>
          <w:rFonts w:ascii="Arial" w:hAnsi="Arial" w:cs="Arial"/>
          <w:lang w:val="en-US"/>
        </w:rPr>
        <w:fldChar w:fldCharType="begin" w:fldLock="1"/>
      </w:r>
      <w:r>
        <w:rPr>
          <w:rFonts w:ascii="Arial" w:hAnsi="Arial" w:cs="Arial"/>
          <w:lang w:val="en-US"/>
        </w:rPr>
        <w:instrText xml:space="preserve">ADDIN Mendeley Bibliography CSL_BIBLIOGRAPHY </w:instrText>
      </w:r>
      <w:r>
        <w:rPr>
          <w:rFonts w:ascii="Arial" w:hAnsi="Arial" w:cs="Arial"/>
          <w:lang w:val="en-US"/>
        </w:rPr>
        <w:fldChar w:fldCharType="separate"/>
      </w:r>
      <w:r w:rsidR="007441D9" w:rsidRPr="007441D9">
        <w:rPr>
          <w:rFonts w:ascii="Arial" w:hAnsi="Arial" w:cs="Arial"/>
          <w:noProof/>
          <w:szCs w:val="24"/>
        </w:rPr>
        <w:t>1.</w:t>
      </w:r>
      <w:r w:rsidR="007441D9" w:rsidRPr="007441D9">
        <w:rPr>
          <w:rFonts w:ascii="Arial" w:hAnsi="Arial" w:cs="Arial"/>
          <w:noProof/>
          <w:szCs w:val="24"/>
        </w:rPr>
        <w:tab/>
        <w:t xml:space="preserve">Chen, S. </w:t>
      </w:r>
      <w:r w:rsidR="007441D9" w:rsidRPr="007441D9">
        <w:rPr>
          <w:rFonts w:ascii="Arial" w:hAnsi="Arial" w:cs="Arial"/>
          <w:i/>
          <w:iCs/>
          <w:noProof/>
          <w:szCs w:val="24"/>
        </w:rPr>
        <w:t>et al.</w:t>
      </w:r>
      <w:r w:rsidR="007441D9" w:rsidRPr="007441D9">
        <w:rPr>
          <w:rFonts w:ascii="Arial" w:hAnsi="Arial" w:cs="Arial"/>
          <w:noProof/>
          <w:szCs w:val="24"/>
        </w:rPr>
        <w:t xml:space="preserve"> Genome-wide CRISPR screen in a mouse model of tumor growth and metastasis. </w:t>
      </w:r>
      <w:r w:rsidR="007441D9" w:rsidRPr="007441D9">
        <w:rPr>
          <w:rFonts w:ascii="Arial" w:hAnsi="Arial" w:cs="Arial"/>
          <w:i/>
          <w:iCs/>
          <w:noProof/>
          <w:szCs w:val="24"/>
        </w:rPr>
        <w:t>Cell</w:t>
      </w:r>
      <w:r w:rsidR="007441D9" w:rsidRPr="007441D9">
        <w:rPr>
          <w:rFonts w:ascii="Arial" w:hAnsi="Arial" w:cs="Arial"/>
          <w:noProof/>
          <w:szCs w:val="24"/>
        </w:rPr>
        <w:t xml:space="preserve"> (2015) doi:10.1016/j.cell.2015.02.038.</w:t>
      </w:r>
    </w:p>
    <w:p w14:paraId="277F7D9B" w14:textId="77777777" w:rsidR="007441D9" w:rsidRPr="007441D9" w:rsidRDefault="007441D9" w:rsidP="007441D9">
      <w:pPr>
        <w:widowControl w:val="0"/>
        <w:autoSpaceDE w:val="0"/>
        <w:autoSpaceDN w:val="0"/>
        <w:adjustRightInd w:val="0"/>
        <w:spacing w:line="240" w:lineRule="auto"/>
        <w:ind w:left="640" w:hanging="640"/>
        <w:rPr>
          <w:rFonts w:ascii="Arial" w:hAnsi="Arial" w:cs="Arial"/>
          <w:noProof/>
          <w:szCs w:val="24"/>
        </w:rPr>
      </w:pPr>
      <w:r w:rsidRPr="007441D9">
        <w:rPr>
          <w:rFonts w:ascii="Arial" w:hAnsi="Arial" w:cs="Arial"/>
          <w:noProof/>
          <w:szCs w:val="24"/>
        </w:rPr>
        <w:t>2.</w:t>
      </w:r>
      <w:r w:rsidRPr="007441D9">
        <w:rPr>
          <w:rFonts w:ascii="Arial" w:hAnsi="Arial" w:cs="Arial"/>
          <w:noProof/>
          <w:szCs w:val="24"/>
        </w:rPr>
        <w:tab/>
        <w:t xml:space="preserve">Joung, J. </w:t>
      </w:r>
      <w:r w:rsidRPr="007441D9">
        <w:rPr>
          <w:rFonts w:ascii="Arial" w:hAnsi="Arial" w:cs="Arial"/>
          <w:i/>
          <w:iCs/>
          <w:noProof/>
          <w:szCs w:val="24"/>
        </w:rPr>
        <w:t>et al.</w:t>
      </w:r>
      <w:r w:rsidRPr="007441D9">
        <w:rPr>
          <w:rFonts w:ascii="Arial" w:hAnsi="Arial" w:cs="Arial"/>
          <w:noProof/>
          <w:szCs w:val="24"/>
        </w:rPr>
        <w:t xml:space="preserve"> Genome-scale CRISPR-Cas9 knockout and transcriptional activation screening. </w:t>
      </w:r>
      <w:r w:rsidRPr="007441D9">
        <w:rPr>
          <w:rFonts w:ascii="Arial" w:hAnsi="Arial" w:cs="Arial"/>
          <w:i/>
          <w:iCs/>
          <w:noProof/>
          <w:szCs w:val="24"/>
        </w:rPr>
        <w:t>Nat. Protoc.</w:t>
      </w:r>
      <w:r w:rsidRPr="007441D9">
        <w:rPr>
          <w:rFonts w:ascii="Arial" w:hAnsi="Arial" w:cs="Arial"/>
          <w:noProof/>
          <w:szCs w:val="24"/>
        </w:rPr>
        <w:t xml:space="preserve"> (2017) doi:10.1038/nprot.2017.016.</w:t>
      </w:r>
    </w:p>
    <w:p w14:paraId="61026146" w14:textId="77777777" w:rsidR="007441D9" w:rsidRPr="007441D9" w:rsidRDefault="007441D9" w:rsidP="007441D9">
      <w:pPr>
        <w:widowControl w:val="0"/>
        <w:autoSpaceDE w:val="0"/>
        <w:autoSpaceDN w:val="0"/>
        <w:adjustRightInd w:val="0"/>
        <w:spacing w:line="240" w:lineRule="auto"/>
        <w:ind w:left="640" w:hanging="640"/>
        <w:rPr>
          <w:rFonts w:ascii="Arial" w:hAnsi="Arial" w:cs="Arial"/>
          <w:noProof/>
          <w:szCs w:val="24"/>
        </w:rPr>
      </w:pPr>
      <w:r w:rsidRPr="007441D9">
        <w:rPr>
          <w:rFonts w:ascii="Arial" w:hAnsi="Arial" w:cs="Arial"/>
          <w:noProof/>
          <w:szCs w:val="24"/>
        </w:rPr>
        <w:t>3.</w:t>
      </w:r>
      <w:r w:rsidRPr="007441D9">
        <w:rPr>
          <w:rFonts w:ascii="Arial" w:hAnsi="Arial" w:cs="Arial"/>
          <w:noProof/>
          <w:szCs w:val="24"/>
        </w:rPr>
        <w:tab/>
        <w:t xml:space="preserve">Anders, S. &amp; Huber, W. Differential expression analysis for sequence count data. </w:t>
      </w:r>
      <w:r w:rsidRPr="007441D9">
        <w:rPr>
          <w:rFonts w:ascii="Arial" w:hAnsi="Arial" w:cs="Arial"/>
          <w:i/>
          <w:iCs/>
          <w:noProof/>
          <w:szCs w:val="24"/>
        </w:rPr>
        <w:t>Genome Biol.</w:t>
      </w:r>
      <w:r w:rsidRPr="007441D9">
        <w:rPr>
          <w:rFonts w:ascii="Arial" w:hAnsi="Arial" w:cs="Arial"/>
          <w:noProof/>
          <w:szCs w:val="24"/>
        </w:rPr>
        <w:t xml:space="preserve"> (2010) doi:10.1186/gb-2010-11-10-r106.</w:t>
      </w:r>
    </w:p>
    <w:p w14:paraId="335A9C96" w14:textId="77777777" w:rsidR="007441D9" w:rsidRPr="007441D9" w:rsidRDefault="007441D9" w:rsidP="007441D9">
      <w:pPr>
        <w:widowControl w:val="0"/>
        <w:autoSpaceDE w:val="0"/>
        <w:autoSpaceDN w:val="0"/>
        <w:adjustRightInd w:val="0"/>
        <w:spacing w:line="240" w:lineRule="auto"/>
        <w:ind w:left="640" w:hanging="640"/>
        <w:rPr>
          <w:rFonts w:ascii="Arial" w:hAnsi="Arial" w:cs="Arial"/>
          <w:noProof/>
        </w:rPr>
      </w:pPr>
      <w:r w:rsidRPr="007441D9">
        <w:rPr>
          <w:rFonts w:ascii="Arial" w:hAnsi="Arial" w:cs="Arial"/>
          <w:noProof/>
          <w:szCs w:val="24"/>
        </w:rPr>
        <w:t>4.</w:t>
      </w:r>
      <w:r w:rsidRPr="007441D9">
        <w:rPr>
          <w:rFonts w:ascii="Arial" w:hAnsi="Arial" w:cs="Arial"/>
          <w:noProof/>
          <w:szCs w:val="24"/>
        </w:rPr>
        <w:tab/>
        <w:t xml:space="preserve">Li, W. </w:t>
      </w:r>
      <w:r w:rsidRPr="007441D9">
        <w:rPr>
          <w:rFonts w:ascii="Arial" w:hAnsi="Arial" w:cs="Arial"/>
          <w:i/>
          <w:iCs/>
          <w:noProof/>
          <w:szCs w:val="24"/>
        </w:rPr>
        <w:t>et al.</w:t>
      </w:r>
      <w:r w:rsidRPr="007441D9">
        <w:rPr>
          <w:rFonts w:ascii="Arial" w:hAnsi="Arial" w:cs="Arial"/>
          <w:noProof/>
          <w:szCs w:val="24"/>
        </w:rPr>
        <w:t xml:space="preserve"> MAGeCK enables robust identification of essential genes from genome-scale CRISPR/Cas9 knockout screens. </w:t>
      </w:r>
      <w:r w:rsidRPr="007441D9">
        <w:rPr>
          <w:rFonts w:ascii="Arial" w:hAnsi="Arial" w:cs="Arial"/>
          <w:i/>
          <w:iCs/>
          <w:noProof/>
          <w:szCs w:val="24"/>
        </w:rPr>
        <w:t>Genome Biol.</w:t>
      </w:r>
      <w:r w:rsidRPr="007441D9">
        <w:rPr>
          <w:rFonts w:ascii="Arial" w:hAnsi="Arial" w:cs="Arial"/>
          <w:noProof/>
          <w:szCs w:val="24"/>
        </w:rPr>
        <w:t xml:space="preserve"> (2014) doi:10.1186/s13059-014-0554-4.</w:t>
      </w:r>
    </w:p>
    <w:p w14:paraId="754466A6" w14:textId="5D017136" w:rsidR="001E2732" w:rsidRPr="00E12B45" w:rsidRDefault="001825AC">
      <w:pPr>
        <w:rPr>
          <w:rFonts w:ascii="Arial" w:hAnsi="Arial" w:cs="Arial"/>
          <w:lang w:val="en-US"/>
        </w:rPr>
      </w:pPr>
      <w:r>
        <w:rPr>
          <w:rFonts w:ascii="Arial" w:hAnsi="Arial" w:cs="Arial"/>
          <w:lang w:val="en-US"/>
        </w:rPr>
        <w:fldChar w:fldCharType="end"/>
      </w:r>
    </w:p>
    <w:sectPr w:rsidR="001E2732" w:rsidRPr="00E12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9B"/>
    <w:rsid w:val="00001C27"/>
    <w:rsid w:val="0000457D"/>
    <w:rsid w:val="00011BF8"/>
    <w:rsid w:val="0004226B"/>
    <w:rsid w:val="00087A33"/>
    <w:rsid w:val="0009425F"/>
    <w:rsid w:val="000D566D"/>
    <w:rsid w:val="001025CA"/>
    <w:rsid w:val="001069ED"/>
    <w:rsid w:val="00133E66"/>
    <w:rsid w:val="001825AC"/>
    <w:rsid w:val="00197378"/>
    <w:rsid w:val="001E2732"/>
    <w:rsid w:val="001F4177"/>
    <w:rsid w:val="001F6FDF"/>
    <w:rsid w:val="00217BA9"/>
    <w:rsid w:val="00231E26"/>
    <w:rsid w:val="00246021"/>
    <w:rsid w:val="00322149"/>
    <w:rsid w:val="00376C7D"/>
    <w:rsid w:val="00377D7E"/>
    <w:rsid w:val="00381D49"/>
    <w:rsid w:val="00390FF8"/>
    <w:rsid w:val="003A6E83"/>
    <w:rsid w:val="003A7D55"/>
    <w:rsid w:val="003D65D6"/>
    <w:rsid w:val="003F4A48"/>
    <w:rsid w:val="00462A31"/>
    <w:rsid w:val="00470148"/>
    <w:rsid w:val="0050139F"/>
    <w:rsid w:val="00574C69"/>
    <w:rsid w:val="005948D9"/>
    <w:rsid w:val="005A6B3A"/>
    <w:rsid w:val="005B3E89"/>
    <w:rsid w:val="005C0F70"/>
    <w:rsid w:val="0066649F"/>
    <w:rsid w:val="00677A16"/>
    <w:rsid w:val="006859D5"/>
    <w:rsid w:val="006B5118"/>
    <w:rsid w:val="006D17AC"/>
    <w:rsid w:val="00717A05"/>
    <w:rsid w:val="00724A1A"/>
    <w:rsid w:val="007441D9"/>
    <w:rsid w:val="007A7A26"/>
    <w:rsid w:val="007C507A"/>
    <w:rsid w:val="007F1FD8"/>
    <w:rsid w:val="00842338"/>
    <w:rsid w:val="00891306"/>
    <w:rsid w:val="00893635"/>
    <w:rsid w:val="009156BE"/>
    <w:rsid w:val="009330C6"/>
    <w:rsid w:val="00935460"/>
    <w:rsid w:val="00935681"/>
    <w:rsid w:val="00994C64"/>
    <w:rsid w:val="00A65EEC"/>
    <w:rsid w:val="00A70AB8"/>
    <w:rsid w:val="00AD579B"/>
    <w:rsid w:val="00B21ACC"/>
    <w:rsid w:val="00B36581"/>
    <w:rsid w:val="00B75D9C"/>
    <w:rsid w:val="00BA54DE"/>
    <w:rsid w:val="00C2576C"/>
    <w:rsid w:val="00D21B0A"/>
    <w:rsid w:val="00D30CF8"/>
    <w:rsid w:val="00D50A41"/>
    <w:rsid w:val="00D6756A"/>
    <w:rsid w:val="00D904CF"/>
    <w:rsid w:val="00DD454D"/>
    <w:rsid w:val="00DD7960"/>
    <w:rsid w:val="00E12B45"/>
    <w:rsid w:val="00E207EF"/>
    <w:rsid w:val="00E73DF8"/>
    <w:rsid w:val="00E80624"/>
    <w:rsid w:val="00E8321F"/>
    <w:rsid w:val="00EA0E71"/>
    <w:rsid w:val="00EB1001"/>
    <w:rsid w:val="00EF0184"/>
    <w:rsid w:val="00F32EC8"/>
    <w:rsid w:val="00F607BD"/>
    <w:rsid w:val="00F8193A"/>
    <w:rsid w:val="00FA5BE9"/>
    <w:rsid w:val="00FB1784"/>
    <w:rsid w:val="00FD2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DFE9"/>
  <w15:chartTrackingRefBased/>
  <w15:docId w15:val="{9CECC89F-3B2D-4FA3-84FD-8E8FDB16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F8"/>
    <w:pPr>
      <w:ind w:left="720"/>
      <w:contextualSpacing/>
    </w:pPr>
  </w:style>
  <w:style w:type="character" w:styleId="Hyperlink">
    <w:name w:val="Hyperlink"/>
    <w:basedOn w:val="DefaultParagraphFont"/>
    <w:uiPriority w:val="99"/>
    <w:unhideWhenUsed/>
    <w:rsid w:val="009354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bioinformatics.babraham.ac.uk/projects/seqmo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4198-3DCD-4E26-ACD5-5C213524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Turner</dc:creator>
  <cp:keywords/>
  <dc:description/>
  <cp:lastModifiedBy>D.J.R. Turner</cp:lastModifiedBy>
  <cp:revision>4</cp:revision>
  <dcterms:created xsi:type="dcterms:W3CDTF">2021-09-10T09:18:00Z</dcterms:created>
  <dcterms:modified xsi:type="dcterms:W3CDTF">2021-09-10T09:21:00Z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2cd1fdea-739a-3591-b26d-c4425af88a17</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http://www.zotero.org/styles/the-crispr-journal</vt:lpwstr>
  </property>
  <property fmtid="{D5CDD505-2E9C-101B-9397-08002B2CF9AE}" pid="24" name="Mendeley Recent Style Name 9_1">
    <vt:lpwstr>The CRISPR Journal</vt:lpwstr>
  </property>
</Properties>
</file>