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2412A" w14:textId="77777777" w:rsidR="001551B1" w:rsidRDefault="00000000">
      <w:pPr>
        <w:jc w:val="center"/>
        <w:rPr>
          <w:b/>
          <w:bCs/>
          <w:sz w:val="32"/>
          <w:szCs w:val="32"/>
          <w:u w:val="single"/>
        </w:rPr>
      </w:pPr>
      <w:r>
        <w:rPr>
          <w:b/>
          <w:bCs/>
          <w:sz w:val="32"/>
          <w:szCs w:val="32"/>
          <w:u w:val="single"/>
        </w:rPr>
        <w:t>Library Amplification Protocol</w:t>
      </w:r>
    </w:p>
    <w:p w14:paraId="679ACB63" w14:textId="77777777" w:rsidR="001551B1" w:rsidRDefault="001551B1">
      <w:pPr>
        <w:jc w:val="center"/>
        <w:rPr>
          <w:b/>
          <w:bCs/>
        </w:rPr>
      </w:pPr>
    </w:p>
    <w:p w14:paraId="38797AB8" w14:textId="77777777" w:rsidR="001551B1" w:rsidRDefault="00000000">
      <w:pPr>
        <w:rPr>
          <w:b/>
          <w:bCs/>
        </w:rPr>
      </w:pPr>
      <w:r>
        <w:rPr>
          <w:b/>
          <w:bCs/>
        </w:rPr>
        <w:t>Overview:</w:t>
      </w:r>
    </w:p>
    <w:p w14:paraId="2765B1F2" w14:textId="77777777" w:rsidR="001551B1" w:rsidRDefault="00000000">
      <w:r>
        <w:t xml:space="preserve">This protocol describes how to recover and amplify a gene library from the plasmid DNA provided by </w:t>
      </w:r>
      <w:proofErr w:type="spellStart"/>
      <w:r>
        <w:t>Addgene</w:t>
      </w:r>
      <w:proofErr w:type="spellEnd"/>
      <w:r>
        <w:t>. The goal is to generate a sufficiently large and representative bacterial population to maintain the diversity of the library and prevent bottlenecking during propagation.</w:t>
      </w:r>
    </w:p>
    <w:p w14:paraId="0368673C" w14:textId="77777777" w:rsidR="001551B1" w:rsidRDefault="001551B1">
      <w:pPr>
        <w:rPr>
          <w:b/>
          <w:bCs/>
        </w:rPr>
      </w:pPr>
    </w:p>
    <w:p w14:paraId="574D25DD" w14:textId="77777777" w:rsidR="001551B1" w:rsidRDefault="00000000">
      <w:pPr>
        <w:rPr>
          <w:b/>
          <w:bCs/>
        </w:rPr>
      </w:pPr>
      <w:r>
        <w:rPr>
          <w:b/>
          <w:bCs/>
        </w:rPr>
        <w:t>Transformation</w:t>
      </w:r>
    </w:p>
    <w:p w14:paraId="45B26A8C" w14:textId="77777777" w:rsidR="001551B1" w:rsidRDefault="00000000">
      <w:r>
        <w:t xml:space="preserve">Electroporate 1-10 ng of supercoiled plasmid DNA into 25 µL of high-efficiency electrocompetent E. coli (e.g., NEB 10-beta Electrocompetent Cells or equivalent). Avoid using chemically competent cells, as their transformation efficiency may be insufficient. Use freshly thawed cells and keep them cold until electroporation. Follow the manufacturer’s electroporation conditions. Immediately add 975 µL of pre-warmed SOC medium after pulsing and transfer to a culture tube. Recover at 37 °C with shaking (250 rpm) for 1 hour. </w:t>
      </w:r>
    </w:p>
    <w:p w14:paraId="68AE5FD6" w14:textId="77777777" w:rsidR="001551B1" w:rsidRDefault="001551B1">
      <w:pPr>
        <w:rPr>
          <w:b/>
          <w:bCs/>
        </w:rPr>
      </w:pPr>
    </w:p>
    <w:p w14:paraId="049F92ED" w14:textId="77777777" w:rsidR="001551B1" w:rsidRDefault="00000000">
      <w:r>
        <w:rPr>
          <w:u w:val="single"/>
        </w:rPr>
        <w:t>Note</w:t>
      </w:r>
      <w:r>
        <w:t xml:space="preserve">: Higher amounts of DNA used in the electroporation correlate with increased frequency of cells containing multiple plasmids (Goldsmith et al. 2007 </w:t>
      </w:r>
      <w:hyperlink r:id="rId5">
        <w:r>
          <w:rPr>
            <w:color w:val="1155CC"/>
            <w:u w:val="single"/>
          </w:rPr>
          <w:t>https://doi.org/10.1093/protein/gzm026</w:t>
        </w:r>
      </w:hyperlink>
      <w:r>
        <w:t xml:space="preserve">; Tomoiaga et al. 2022 </w:t>
      </w:r>
      <w:hyperlink r:id="rId6">
        <w:r>
          <w:rPr>
            <w:color w:val="1155CC"/>
            <w:u w:val="single"/>
          </w:rPr>
          <w:t>https://doi.org/10.1038/s41598-022-14598-9</w:t>
        </w:r>
      </w:hyperlink>
      <w:r>
        <w:t xml:space="preserve">). To reduce this </w:t>
      </w:r>
      <w:proofErr w:type="gramStart"/>
      <w:r>
        <w:t>effect</w:t>
      </w:r>
      <w:proofErr w:type="gramEnd"/>
      <w:r>
        <w:t xml:space="preserve"> it may be preferable to use less DNA and perform multiple parallel </w:t>
      </w:r>
      <w:proofErr w:type="spellStart"/>
      <w:r>
        <w:t>electroporations</w:t>
      </w:r>
      <w:proofErr w:type="spellEnd"/>
      <w:r>
        <w:t xml:space="preserve"> to achieve the desired coverage.</w:t>
      </w:r>
    </w:p>
    <w:p w14:paraId="78D43D13" w14:textId="77777777" w:rsidR="001551B1" w:rsidRDefault="001551B1"/>
    <w:p w14:paraId="0137FDD7" w14:textId="77777777" w:rsidR="001551B1" w:rsidRDefault="00000000">
      <w:pPr>
        <w:rPr>
          <w:b/>
          <w:bCs/>
        </w:rPr>
      </w:pPr>
      <w:r>
        <w:rPr>
          <w:b/>
          <w:bCs/>
        </w:rPr>
        <w:t>Plating and Estimating Coverage</w:t>
      </w:r>
    </w:p>
    <w:p w14:paraId="5C11BEDA" w14:textId="77777777" w:rsidR="001551B1" w:rsidRDefault="001551B1"/>
    <w:p w14:paraId="2FD38F4F" w14:textId="77777777" w:rsidR="001551B1" w:rsidRDefault="00000000">
      <w:r>
        <w:t>Plate recovered cells on LB-agar plates containing carbenicillin (100 µg/mL).</w:t>
      </w:r>
    </w:p>
    <w:p w14:paraId="622D8E08" w14:textId="77777777" w:rsidR="001551B1" w:rsidRDefault="00000000">
      <w:r>
        <w:t>To estimate transformation efficiency and coverage:</w:t>
      </w:r>
    </w:p>
    <w:p w14:paraId="08AEBBED" w14:textId="77777777" w:rsidR="001551B1" w:rsidRDefault="001551B1"/>
    <w:p w14:paraId="326C1F9B" w14:textId="77777777" w:rsidR="001551B1" w:rsidRDefault="00000000">
      <w:pPr>
        <w:numPr>
          <w:ilvl w:val="0"/>
          <w:numId w:val="19"/>
        </w:numPr>
      </w:pPr>
      <w:r>
        <w:t>Prepare serial dilutions (e.g., 1:10⁴ to 1:10⁶) and plate 100 µL from each dilution on separate plates.</w:t>
      </w:r>
    </w:p>
    <w:p w14:paraId="79055319" w14:textId="77777777" w:rsidR="001551B1" w:rsidRDefault="00000000">
      <w:pPr>
        <w:numPr>
          <w:ilvl w:val="0"/>
          <w:numId w:val="19"/>
        </w:numPr>
      </w:pPr>
      <w:r>
        <w:t>After overnight incubation at 37 °C, count colony-forming units (CFUs) to determine the total number of transformants.</w:t>
      </w:r>
    </w:p>
    <w:p w14:paraId="5C51E575" w14:textId="77777777" w:rsidR="001551B1" w:rsidRDefault="00000000">
      <w:pPr>
        <w:numPr>
          <w:ilvl w:val="0"/>
          <w:numId w:val="19"/>
        </w:numPr>
      </w:pPr>
      <w:r>
        <w:rPr>
          <w:u w:val="single"/>
        </w:rPr>
        <w:t>We recommend achieving &gt; 2,000,000 CFUs to prevent diversity loss or bottlenecks.</w:t>
      </w:r>
    </w:p>
    <w:p w14:paraId="4CDCB19D" w14:textId="77777777" w:rsidR="001551B1" w:rsidRDefault="00000000">
      <w:pPr>
        <w:numPr>
          <w:ilvl w:val="0"/>
          <w:numId w:val="19"/>
        </w:numPr>
      </w:pPr>
      <w:r>
        <w:t>Use the smallest number of growth cycles necessary to minimize potential bias in gene representation.</w:t>
      </w:r>
    </w:p>
    <w:p w14:paraId="4996B465" w14:textId="77777777" w:rsidR="001551B1" w:rsidRDefault="001551B1"/>
    <w:p w14:paraId="359350CC" w14:textId="77777777" w:rsidR="001551B1" w:rsidRDefault="00000000">
      <w:pPr>
        <w:rPr>
          <w:b/>
          <w:bCs/>
        </w:rPr>
      </w:pPr>
      <w:r>
        <w:rPr>
          <w:b/>
          <w:bCs/>
        </w:rPr>
        <w:t>Library Recovery and Amplification</w:t>
      </w:r>
    </w:p>
    <w:p w14:paraId="6F8F6E3C" w14:textId="77777777" w:rsidR="001551B1" w:rsidRDefault="001551B1"/>
    <w:p w14:paraId="6C84E29D" w14:textId="77777777" w:rsidR="001551B1" w:rsidRDefault="00000000">
      <w:r>
        <w:t xml:space="preserve">After overnight growth, colonies can be either scraped to recover the pooled library or </w:t>
      </w:r>
      <w:proofErr w:type="spellStart"/>
      <w:r>
        <w:t>restreaked</w:t>
      </w:r>
      <w:proofErr w:type="spellEnd"/>
      <w:r>
        <w:t xml:space="preserve"> to isolate individual clones if needed for quality control sequencing.</w:t>
      </w:r>
    </w:p>
    <w:p w14:paraId="40F693C0" w14:textId="77777777" w:rsidR="001551B1" w:rsidRDefault="001551B1"/>
    <w:p w14:paraId="4E8F0A2F" w14:textId="77777777" w:rsidR="001551B1" w:rsidRDefault="00000000">
      <w:r>
        <w:t>To recover the full library:</w:t>
      </w:r>
    </w:p>
    <w:p w14:paraId="60869A51" w14:textId="77777777" w:rsidR="001551B1" w:rsidRDefault="00000000">
      <w:pPr>
        <w:numPr>
          <w:ilvl w:val="0"/>
          <w:numId w:val="16"/>
        </w:numPr>
      </w:pPr>
      <w:r>
        <w:t>In a sterile environment, add 0.5–1 mL of sterile LB or SOC medium to each agar plate.</w:t>
      </w:r>
    </w:p>
    <w:p w14:paraId="26DB0F30" w14:textId="77777777" w:rsidR="001551B1" w:rsidRDefault="00000000">
      <w:pPr>
        <w:numPr>
          <w:ilvl w:val="0"/>
          <w:numId w:val="16"/>
        </w:numPr>
      </w:pPr>
      <w:r>
        <w:t>Use a sterile cell spreader to gently dislodge colonies from the agar surface.</w:t>
      </w:r>
    </w:p>
    <w:p w14:paraId="3CE25E48" w14:textId="77777777" w:rsidR="001551B1" w:rsidRDefault="00000000">
      <w:pPr>
        <w:numPr>
          <w:ilvl w:val="0"/>
          <w:numId w:val="16"/>
        </w:numPr>
      </w:pPr>
      <w:r>
        <w:t>Collect the suspension using a pipette and pool all plates into a single sterile container or tube.</w:t>
      </w:r>
    </w:p>
    <w:p w14:paraId="5347D2B0" w14:textId="77777777" w:rsidR="001551B1" w:rsidRDefault="00000000">
      <w:pPr>
        <w:numPr>
          <w:ilvl w:val="0"/>
          <w:numId w:val="16"/>
        </w:numPr>
      </w:pPr>
      <w:r>
        <w:lastRenderedPageBreak/>
        <w:t>Mix thoroughly to homogenize the pooled library. The resulting suspension will have a high optical density (OD600 &gt; 10) and may need dilution for downstream use.</w:t>
      </w:r>
    </w:p>
    <w:p w14:paraId="056A7E50" w14:textId="77777777" w:rsidR="001551B1" w:rsidRDefault="001551B1"/>
    <w:p w14:paraId="617C6467" w14:textId="77777777" w:rsidR="001551B1" w:rsidRDefault="00000000">
      <w:pPr>
        <w:rPr>
          <w:b/>
          <w:bCs/>
        </w:rPr>
      </w:pPr>
      <w:r>
        <w:rPr>
          <w:b/>
          <w:bCs/>
        </w:rPr>
        <w:t>Storage and Further Amplification</w:t>
      </w:r>
    </w:p>
    <w:p w14:paraId="7C24BD19" w14:textId="77777777" w:rsidR="001551B1" w:rsidRDefault="001551B1"/>
    <w:p w14:paraId="287767B0" w14:textId="77777777" w:rsidR="001551B1" w:rsidRDefault="00000000">
      <w:r>
        <w:t>From the pooled suspension:</w:t>
      </w:r>
    </w:p>
    <w:p w14:paraId="07D18B4E" w14:textId="77777777" w:rsidR="001551B1" w:rsidRDefault="00000000">
      <w:pPr>
        <w:numPr>
          <w:ilvl w:val="0"/>
          <w:numId w:val="2"/>
        </w:numPr>
      </w:pPr>
      <w:r>
        <w:t>Estimate the cell concentration using the OD600 (you may have to dilute until OD&lt;1). Use &gt;100 million cells to inoculate an overnight culture in selective LB (or TB) medium (carbenicillin). Grow at 37 °C, 250 rpm overnight.</w:t>
      </w:r>
    </w:p>
    <w:p w14:paraId="0CD9E3F0" w14:textId="77777777" w:rsidR="001551B1" w:rsidRDefault="00000000">
      <w:pPr>
        <w:numPr>
          <w:ilvl w:val="0"/>
          <w:numId w:val="2"/>
        </w:numPr>
      </w:pPr>
      <w:r>
        <w:t>Prepare 10x glycerol stocks (final 25% glycerol) and store at -80 °C.</w:t>
      </w:r>
    </w:p>
    <w:p w14:paraId="1E0A354C" w14:textId="77777777" w:rsidR="001551B1" w:rsidRDefault="00000000">
      <w:pPr>
        <w:numPr>
          <w:ilvl w:val="0"/>
          <w:numId w:val="2"/>
        </w:numPr>
      </w:pPr>
      <w:r>
        <w:t xml:space="preserve">Perform a miniprep or </w:t>
      </w:r>
      <w:proofErr w:type="spellStart"/>
      <w:r>
        <w:t>midiprep</w:t>
      </w:r>
      <w:proofErr w:type="spellEnd"/>
      <w:r>
        <w:t xml:space="preserve"> from 1-5 mL of the overnight culture to recover library plasmid DNA for sequencing validation or further experiments.</w:t>
      </w:r>
    </w:p>
    <w:p w14:paraId="08AB668D" w14:textId="77777777" w:rsidR="001551B1" w:rsidRDefault="001551B1">
      <w:pPr>
        <w:jc w:val="center"/>
        <w:rPr>
          <w:b/>
          <w:bCs/>
        </w:rPr>
      </w:pPr>
    </w:p>
    <w:p w14:paraId="6E2592C0" w14:textId="77777777" w:rsidR="001551B1" w:rsidRDefault="001551B1"/>
    <w:sectPr w:rsidR="001551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71ADC38-EADE-144E-BEF9-10C4F2EB8898}"/>
  </w:font>
  <w:font w:name="Arial">
    <w:panose1 w:val="020B0604020202020204"/>
    <w:charset w:val="00"/>
    <w:family w:val="swiss"/>
    <w:pitch w:val="variable"/>
    <w:sig w:usb0="E0002EFF" w:usb1="C000785B" w:usb2="00000009" w:usb3="00000000" w:csb0="000001FF" w:csb1="00000000"/>
    <w:embedRegular r:id="rId2" w:fontKey="{395F8F16-F543-574D-AC2B-5B98C6460239}"/>
    <w:embedBold r:id="rId3" w:fontKey="{41894F7C-A0E9-9545-AD55-D97B6DDF75A0}"/>
    <w:embedItalic r:id="rId4" w:fontKey="{98738FB9-6295-274A-B7D3-9FCCB005EC14}"/>
  </w:font>
  <w:font w:name="Calibri">
    <w:panose1 w:val="020F0502020204030204"/>
    <w:charset w:val="00"/>
    <w:family w:val="swiss"/>
    <w:pitch w:val="variable"/>
    <w:sig w:usb0="E4002EFF" w:usb1="C000247B" w:usb2="00000009" w:usb3="00000000" w:csb0="000001FF" w:csb1="00000000"/>
    <w:embedRegular r:id="rId5" w:fontKey="{36F1A45D-3522-B949-A726-EEF9D2B90D22}"/>
  </w:font>
  <w:font w:name="Cambria">
    <w:panose1 w:val="02040503050406030204"/>
    <w:charset w:val="00"/>
    <w:family w:val="roman"/>
    <w:pitch w:val="variable"/>
    <w:sig w:usb0="E00002FF" w:usb1="400004FF" w:usb2="00000000" w:usb3="00000000" w:csb0="0000019F" w:csb1="00000000"/>
    <w:embedRegular r:id="rId6" w:fontKey="{2437ABFE-4376-0F47-87AA-143909747A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0C5"/>
    <w:multiLevelType w:val="multilevel"/>
    <w:tmpl w:val="13B0A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05479"/>
    <w:multiLevelType w:val="multilevel"/>
    <w:tmpl w:val="C8FAB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D70A26"/>
    <w:multiLevelType w:val="multilevel"/>
    <w:tmpl w:val="163EC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6D08C4"/>
    <w:multiLevelType w:val="multilevel"/>
    <w:tmpl w:val="D896B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3E7F8F"/>
    <w:multiLevelType w:val="multilevel"/>
    <w:tmpl w:val="D19CF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F82A53"/>
    <w:multiLevelType w:val="multilevel"/>
    <w:tmpl w:val="C4F45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FF37E4"/>
    <w:multiLevelType w:val="multilevel"/>
    <w:tmpl w:val="C92AD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894A6B"/>
    <w:multiLevelType w:val="multilevel"/>
    <w:tmpl w:val="7F648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D829D4"/>
    <w:multiLevelType w:val="multilevel"/>
    <w:tmpl w:val="A5C88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677BC2"/>
    <w:multiLevelType w:val="multilevel"/>
    <w:tmpl w:val="09E4E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DD6ECB"/>
    <w:multiLevelType w:val="multilevel"/>
    <w:tmpl w:val="74D0D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694D58"/>
    <w:multiLevelType w:val="multilevel"/>
    <w:tmpl w:val="BED6C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511397"/>
    <w:multiLevelType w:val="multilevel"/>
    <w:tmpl w:val="6BC4D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DB0732"/>
    <w:multiLevelType w:val="multilevel"/>
    <w:tmpl w:val="673E1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6420BD"/>
    <w:multiLevelType w:val="multilevel"/>
    <w:tmpl w:val="5EFEB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312CA7"/>
    <w:multiLevelType w:val="multilevel"/>
    <w:tmpl w:val="59824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535AF8"/>
    <w:multiLevelType w:val="multilevel"/>
    <w:tmpl w:val="47AE5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97114D"/>
    <w:multiLevelType w:val="multilevel"/>
    <w:tmpl w:val="D1A2C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C83C21"/>
    <w:multiLevelType w:val="multilevel"/>
    <w:tmpl w:val="E0B2A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B920B24"/>
    <w:multiLevelType w:val="multilevel"/>
    <w:tmpl w:val="4DBEF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C1A44BE"/>
    <w:multiLevelType w:val="multilevel"/>
    <w:tmpl w:val="F6526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410942"/>
    <w:multiLevelType w:val="multilevel"/>
    <w:tmpl w:val="B62AD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6770318">
    <w:abstractNumId w:val="10"/>
  </w:num>
  <w:num w:numId="2" w16cid:durableId="323171455">
    <w:abstractNumId w:val="17"/>
  </w:num>
  <w:num w:numId="3" w16cid:durableId="546571640">
    <w:abstractNumId w:val="3"/>
  </w:num>
  <w:num w:numId="4" w16cid:durableId="1418476144">
    <w:abstractNumId w:val="20"/>
  </w:num>
  <w:num w:numId="5" w16cid:durableId="1657763298">
    <w:abstractNumId w:val="15"/>
  </w:num>
  <w:num w:numId="6" w16cid:durableId="1608581459">
    <w:abstractNumId w:val="9"/>
  </w:num>
  <w:num w:numId="7" w16cid:durableId="2146198012">
    <w:abstractNumId w:val="8"/>
  </w:num>
  <w:num w:numId="8" w16cid:durableId="409276323">
    <w:abstractNumId w:val="12"/>
  </w:num>
  <w:num w:numId="9" w16cid:durableId="837305223">
    <w:abstractNumId w:val="11"/>
  </w:num>
  <w:num w:numId="10" w16cid:durableId="330378302">
    <w:abstractNumId w:val="1"/>
  </w:num>
  <w:num w:numId="11" w16cid:durableId="1816875168">
    <w:abstractNumId w:val="0"/>
  </w:num>
  <w:num w:numId="12" w16cid:durableId="1205632187">
    <w:abstractNumId w:val="18"/>
  </w:num>
  <w:num w:numId="13" w16cid:durableId="1194807347">
    <w:abstractNumId w:val="7"/>
  </w:num>
  <w:num w:numId="14" w16cid:durableId="83308257">
    <w:abstractNumId w:val="13"/>
  </w:num>
  <w:num w:numId="15" w16cid:durableId="1439640378">
    <w:abstractNumId w:val="21"/>
  </w:num>
  <w:num w:numId="16" w16cid:durableId="1143039845">
    <w:abstractNumId w:val="19"/>
  </w:num>
  <w:num w:numId="17" w16cid:durableId="1125201466">
    <w:abstractNumId w:val="14"/>
  </w:num>
  <w:num w:numId="18" w16cid:durableId="264508366">
    <w:abstractNumId w:val="5"/>
  </w:num>
  <w:num w:numId="19" w16cid:durableId="806707844">
    <w:abstractNumId w:val="4"/>
  </w:num>
  <w:num w:numId="20" w16cid:durableId="481510660">
    <w:abstractNumId w:val="6"/>
  </w:num>
  <w:num w:numId="21" w16cid:durableId="1743942731">
    <w:abstractNumId w:val="16"/>
  </w:num>
  <w:num w:numId="22" w16cid:durableId="1647126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1B1"/>
    <w:rsid w:val="001551B1"/>
    <w:rsid w:val="00234DB0"/>
    <w:rsid w:val="002E0904"/>
    <w:rsid w:val="00456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1A933F"/>
  <w15:docId w15:val="{ECDC0FBF-6BDA-3541-9B5A-F5F1C87CD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038/s41598-022-14598-9" TargetMode="External"/><Relationship Id="rId5" Type="http://schemas.openxmlformats.org/officeDocument/2006/relationships/hyperlink" Target="https://doi.org/10.1093/protein/gzm026"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466</Words>
  <Characters>2660</Characters>
  <Application>Microsoft Office Word</Application>
  <DocSecurity>0</DocSecurity>
  <Lines>22</Lines>
  <Paragraphs>6</Paragraphs>
  <ScaleCrop>false</ScaleCrop>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Calin Plesa</cp:lastModifiedBy>
  <cp:revision>3</cp:revision>
  <dcterms:created xsi:type="dcterms:W3CDTF">2025-11-11T18:18:00Z</dcterms:created>
  <dcterms:modified xsi:type="dcterms:W3CDTF">2025-11-11T18:19:00Z</dcterms:modified>
</cp:coreProperties>
</file>