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38765" w14:textId="77777777" w:rsidR="00481FB9" w:rsidRPr="00D33664" w:rsidRDefault="00481FB9" w:rsidP="00481FB9">
      <w:pPr>
        <w:keepNext/>
        <w:keepLines/>
        <w:jc w:val="both"/>
        <w:outlineLvl w:val="2"/>
        <w:rPr>
          <w:bCs/>
          <w:szCs w:val="24"/>
          <w:u w:val="single"/>
        </w:rPr>
      </w:pPr>
      <w:r w:rsidRPr="00D33664">
        <w:rPr>
          <w:bCs/>
          <w:szCs w:val="24"/>
          <w:u w:val="single"/>
        </w:rPr>
        <w:t>Cloning and evaluation of puromycin/</w:t>
      </w:r>
      <w:proofErr w:type="spellStart"/>
      <w:r w:rsidRPr="00D33664">
        <w:rPr>
          <w:bCs/>
          <w:szCs w:val="24"/>
          <w:u w:val="single"/>
        </w:rPr>
        <w:t>blasticidin</w:t>
      </w:r>
      <w:proofErr w:type="spellEnd"/>
      <w:r w:rsidRPr="00D33664">
        <w:rPr>
          <w:bCs/>
          <w:szCs w:val="24"/>
          <w:u w:val="single"/>
        </w:rPr>
        <w:t xml:space="preserve"> lentiviral static barcode libraries</w:t>
      </w:r>
    </w:p>
    <w:p w14:paraId="21CE0B6E" w14:textId="77777777" w:rsidR="00481FB9" w:rsidRPr="00D33664" w:rsidRDefault="00481FB9" w:rsidP="00481FB9">
      <w:pPr>
        <w:jc w:val="both"/>
        <w:rPr>
          <w:color w:val="000000"/>
          <w:szCs w:val="24"/>
        </w:rPr>
      </w:pPr>
      <w:r w:rsidRPr="00D33664">
        <w:rPr>
          <w:color w:val="000000"/>
          <w:szCs w:val="24"/>
        </w:rPr>
        <w:t xml:space="preserve">Lentiviral plasmids expressing puromycin or </w:t>
      </w:r>
      <w:proofErr w:type="spellStart"/>
      <w:r w:rsidRPr="00D33664">
        <w:rPr>
          <w:color w:val="000000"/>
          <w:szCs w:val="24"/>
        </w:rPr>
        <w:t>blasticidin</w:t>
      </w:r>
      <w:proofErr w:type="spellEnd"/>
      <w:r w:rsidRPr="00D33664">
        <w:rPr>
          <w:color w:val="000000"/>
          <w:szCs w:val="24"/>
        </w:rPr>
        <w:t xml:space="preserve"> resistance genes were cloned with Gibson assembly following manufacturer’s protocols. We </w:t>
      </w:r>
      <w:r w:rsidRPr="00D33664">
        <w:rPr>
          <w:szCs w:val="24"/>
        </w:rPr>
        <w:t>i</w:t>
      </w:r>
      <w:r w:rsidRPr="00D33664">
        <w:rPr>
          <w:color w:val="000000"/>
          <w:szCs w:val="24"/>
        </w:rPr>
        <w:t>ntroduc</w:t>
      </w:r>
      <w:r w:rsidRPr="00D33664">
        <w:rPr>
          <w:szCs w:val="24"/>
        </w:rPr>
        <w:t>ed</w:t>
      </w:r>
      <w:r w:rsidRPr="00D33664">
        <w:rPr>
          <w:color w:val="000000"/>
          <w:szCs w:val="24"/>
        </w:rPr>
        <w:t xml:space="preserve"> a 10N random barcode that could be efficiently assayed using </w:t>
      </w:r>
      <w:proofErr w:type="spellStart"/>
      <w:r w:rsidRPr="00D33664">
        <w:rPr>
          <w:color w:val="000000"/>
          <w:szCs w:val="24"/>
        </w:rPr>
        <w:t>sc</w:t>
      </w:r>
      <w:r w:rsidRPr="00D33664">
        <w:rPr>
          <w:szCs w:val="24"/>
        </w:rPr>
        <w:t>RNA</w:t>
      </w:r>
      <w:proofErr w:type="spellEnd"/>
      <w:r w:rsidRPr="00D33664">
        <w:rPr>
          <w:szCs w:val="24"/>
        </w:rPr>
        <w:t>-seq-based capture of</w:t>
      </w:r>
      <w:r w:rsidRPr="00D33664">
        <w:rPr>
          <w:color w:val="000000"/>
          <w:szCs w:val="24"/>
        </w:rPr>
        <w:t xml:space="preserve"> 3’ polyadenylated transcripts. </w:t>
      </w:r>
      <w:r w:rsidRPr="00D33664">
        <w:rPr>
          <w:szCs w:val="24"/>
        </w:rPr>
        <w:t>These libraries were cloned</w:t>
      </w:r>
      <w:r w:rsidRPr="00D33664">
        <w:rPr>
          <w:color w:val="000000"/>
          <w:szCs w:val="24"/>
        </w:rPr>
        <w:t xml:space="preserve"> by introducing oligonucleotide libraries ordered from IDT using Gibson assembly. Top and bottom oligo libraries were ordered, cloned, and transformed before libraries were pooled, expanded through outgrowth for 8 hours and </w:t>
      </w:r>
      <w:proofErr w:type="spellStart"/>
      <w:r w:rsidRPr="00D33664">
        <w:rPr>
          <w:color w:val="000000"/>
          <w:szCs w:val="24"/>
        </w:rPr>
        <w:t>Midiprepped</w:t>
      </w:r>
      <w:proofErr w:type="spellEnd"/>
      <w:r w:rsidRPr="00D33664">
        <w:rPr>
          <w:color w:val="000000"/>
          <w:szCs w:val="24"/>
        </w:rPr>
        <w:t>. Lentiviral plasmid libraries were sequence confirmed: plasmid libraries were amplified with two successive rounds of PCR as done to sequence genomic loci. PCR1 was performed using Phusion Green Hot Start II High-Fidelity PCR 2x Master Mix with the following cycle conditions: 98ºC for 2 minutes, [98ºC for 10</w:t>
      </w:r>
      <w:r w:rsidRPr="00D33664">
        <w:rPr>
          <w:szCs w:val="24"/>
        </w:rPr>
        <w:t xml:space="preserve"> seconds</w:t>
      </w:r>
      <w:r w:rsidRPr="00D33664">
        <w:rPr>
          <w:color w:val="000000"/>
          <w:szCs w:val="24"/>
        </w:rPr>
        <w:t>, 64ºC for 20</w:t>
      </w:r>
      <w:r w:rsidRPr="00D33664">
        <w:rPr>
          <w:szCs w:val="24"/>
        </w:rPr>
        <w:t xml:space="preserve"> seconds</w:t>
      </w:r>
      <w:r w:rsidRPr="00D33664">
        <w:rPr>
          <w:color w:val="000000"/>
          <w:szCs w:val="24"/>
        </w:rPr>
        <w:t>, 72ºC for 1 minute]</w:t>
      </w:r>
      <w:r w:rsidRPr="00D33664">
        <w:rPr>
          <w:szCs w:val="24"/>
        </w:rPr>
        <w:t xml:space="preserve"> where the number of cycles was empirically determined by </w:t>
      </w:r>
      <w:proofErr w:type="spellStart"/>
      <w:r w:rsidRPr="00D33664">
        <w:rPr>
          <w:szCs w:val="24"/>
        </w:rPr>
        <w:t>qPR</w:t>
      </w:r>
      <w:proofErr w:type="spellEnd"/>
      <w:r w:rsidRPr="00D33664">
        <w:rPr>
          <w:color w:val="000000"/>
          <w:szCs w:val="24"/>
        </w:rPr>
        <w:t>, followed by a 72ºC for 2 minutes. PCR2, gel extraction, library preparation, and sequencing were carried out as before.</w:t>
      </w:r>
    </w:p>
    <w:p w14:paraId="7899375A" w14:textId="77777777" w:rsidR="00481FB9" w:rsidRPr="00D33664" w:rsidRDefault="00481FB9" w:rsidP="00481FB9">
      <w:pPr>
        <w:jc w:val="both"/>
        <w:rPr>
          <w:color w:val="000000"/>
          <w:szCs w:val="24"/>
        </w:rPr>
      </w:pPr>
    </w:p>
    <w:p w14:paraId="28ED60F9" w14:textId="77777777" w:rsidR="00481FB9" w:rsidRPr="00D33664" w:rsidRDefault="00481FB9" w:rsidP="00481FB9">
      <w:pPr>
        <w:jc w:val="both"/>
        <w:rPr>
          <w:b/>
          <w:bCs/>
          <w:color w:val="000000"/>
          <w:szCs w:val="24"/>
        </w:rPr>
      </w:pPr>
      <w:r w:rsidRPr="00D33664">
        <w:rPr>
          <w:b/>
          <w:bCs/>
          <w:color w:val="000000"/>
          <w:szCs w:val="24"/>
        </w:rPr>
        <w:t xml:space="preserve">Puromycin 10N library top: </w:t>
      </w:r>
    </w:p>
    <w:p w14:paraId="35ADEBE0" w14:textId="77777777" w:rsidR="00481FB9" w:rsidRPr="00D33664" w:rsidRDefault="00481FB9" w:rsidP="00481FB9">
      <w:pPr>
        <w:ind w:left="720"/>
        <w:jc w:val="both"/>
        <w:rPr>
          <w:color w:val="000000"/>
          <w:szCs w:val="24"/>
        </w:rPr>
      </w:pPr>
      <w:r w:rsidRPr="00D33664">
        <w:rPr>
          <w:color w:val="000000"/>
          <w:szCs w:val="24"/>
        </w:rPr>
        <w:t>CAGAAAGCCTGGCGCCTGACNNNNNNNNNNGTTTAAACCCGCTGATCAGCCTCGACTG</w:t>
      </w:r>
    </w:p>
    <w:p w14:paraId="6C3ECBC9" w14:textId="77777777" w:rsidR="00481FB9" w:rsidRPr="00D33664" w:rsidRDefault="00481FB9" w:rsidP="00481FB9">
      <w:pPr>
        <w:jc w:val="both"/>
        <w:rPr>
          <w:b/>
          <w:bCs/>
          <w:color w:val="000000"/>
          <w:szCs w:val="24"/>
        </w:rPr>
      </w:pPr>
      <w:r w:rsidRPr="00D33664">
        <w:rPr>
          <w:b/>
          <w:bCs/>
          <w:color w:val="000000"/>
          <w:szCs w:val="24"/>
        </w:rPr>
        <w:t>Puromycin 10N library bottom:</w:t>
      </w:r>
    </w:p>
    <w:p w14:paraId="401CCEF0" w14:textId="77777777" w:rsidR="00481FB9" w:rsidRPr="00D33664" w:rsidRDefault="00481FB9" w:rsidP="00481FB9">
      <w:pPr>
        <w:ind w:left="720"/>
        <w:jc w:val="both"/>
        <w:rPr>
          <w:color w:val="000000"/>
          <w:szCs w:val="24"/>
        </w:rPr>
      </w:pPr>
      <w:r w:rsidRPr="00D33664">
        <w:rPr>
          <w:color w:val="000000"/>
          <w:szCs w:val="24"/>
        </w:rPr>
        <w:t>CAGTCGAGGCTGATCAGCGGGTTTAAACNNNNNNNNNNGTCAGGCGCCAGGCTTTCTG</w:t>
      </w:r>
    </w:p>
    <w:p w14:paraId="2C3B9CD6" w14:textId="77777777" w:rsidR="00481FB9" w:rsidRPr="00D33664" w:rsidRDefault="00481FB9" w:rsidP="00481FB9">
      <w:pPr>
        <w:jc w:val="both"/>
        <w:rPr>
          <w:b/>
          <w:bCs/>
          <w:color w:val="000000"/>
          <w:szCs w:val="24"/>
        </w:rPr>
      </w:pPr>
      <w:proofErr w:type="spellStart"/>
      <w:r w:rsidRPr="00D33664">
        <w:rPr>
          <w:b/>
          <w:bCs/>
          <w:color w:val="000000"/>
          <w:szCs w:val="24"/>
        </w:rPr>
        <w:t>Blasticidin</w:t>
      </w:r>
      <w:proofErr w:type="spellEnd"/>
      <w:r w:rsidRPr="00D33664">
        <w:rPr>
          <w:b/>
          <w:bCs/>
          <w:color w:val="000000"/>
          <w:szCs w:val="24"/>
        </w:rPr>
        <w:t xml:space="preserve"> 10N library top:</w:t>
      </w:r>
    </w:p>
    <w:p w14:paraId="05FC9ACF" w14:textId="77777777" w:rsidR="00481FB9" w:rsidRPr="00D33664" w:rsidRDefault="00481FB9" w:rsidP="00481FB9">
      <w:pPr>
        <w:ind w:left="720"/>
        <w:jc w:val="both"/>
        <w:rPr>
          <w:color w:val="000000"/>
          <w:szCs w:val="24"/>
        </w:rPr>
      </w:pPr>
      <w:r w:rsidRPr="00D33664">
        <w:rPr>
          <w:color w:val="000000"/>
          <w:szCs w:val="24"/>
        </w:rPr>
        <w:t>TTATGTGTGGGAGGGCTAACNNNNNNNNNNGTTTAAACCCGCTGATCAGCCTCGACTG</w:t>
      </w:r>
    </w:p>
    <w:p w14:paraId="46CB9B3D" w14:textId="77777777" w:rsidR="00481FB9" w:rsidRPr="00D33664" w:rsidRDefault="00481FB9" w:rsidP="00481FB9">
      <w:pPr>
        <w:jc w:val="both"/>
        <w:rPr>
          <w:b/>
          <w:bCs/>
          <w:color w:val="000000"/>
          <w:szCs w:val="24"/>
        </w:rPr>
      </w:pPr>
      <w:proofErr w:type="spellStart"/>
      <w:r w:rsidRPr="00D33664">
        <w:rPr>
          <w:b/>
          <w:bCs/>
          <w:color w:val="000000"/>
          <w:szCs w:val="24"/>
        </w:rPr>
        <w:t>Blasticidin</w:t>
      </w:r>
      <w:proofErr w:type="spellEnd"/>
      <w:r w:rsidRPr="00D33664">
        <w:rPr>
          <w:b/>
          <w:bCs/>
          <w:color w:val="000000"/>
          <w:szCs w:val="24"/>
        </w:rPr>
        <w:t xml:space="preserve"> 10N library bottom:</w:t>
      </w:r>
    </w:p>
    <w:p w14:paraId="0C0F5B2A" w14:textId="77777777" w:rsidR="00481FB9" w:rsidRPr="00D33664" w:rsidRDefault="00481FB9" w:rsidP="00481FB9">
      <w:pPr>
        <w:ind w:left="720"/>
        <w:jc w:val="both"/>
        <w:rPr>
          <w:color w:val="000000"/>
          <w:szCs w:val="24"/>
        </w:rPr>
      </w:pPr>
      <w:r w:rsidRPr="00D33664">
        <w:rPr>
          <w:color w:val="000000"/>
          <w:szCs w:val="24"/>
        </w:rPr>
        <w:t>CAGTCGAGGCTGATCAGCGGGTTTAAACNNNNNNNNNNGTTAGCCCTCCCACACATAA</w:t>
      </w:r>
    </w:p>
    <w:p w14:paraId="4429123B" w14:textId="77777777" w:rsidR="00481FB9" w:rsidRPr="00D33664" w:rsidRDefault="00481FB9" w:rsidP="00481FB9">
      <w:pPr>
        <w:jc w:val="both"/>
        <w:rPr>
          <w:color w:val="000000"/>
          <w:szCs w:val="24"/>
        </w:rPr>
      </w:pPr>
    </w:p>
    <w:p w14:paraId="76AD2F35" w14:textId="77777777" w:rsidR="00481FB9" w:rsidRPr="00D33664" w:rsidRDefault="00481FB9" w:rsidP="00481FB9">
      <w:pPr>
        <w:jc w:val="both"/>
        <w:rPr>
          <w:b/>
          <w:bCs/>
          <w:szCs w:val="24"/>
        </w:rPr>
      </w:pPr>
      <w:r w:rsidRPr="00D33664">
        <w:rPr>
          <w:b/>
          <w:bCs/>
          <w:color w:val="000000"/>
          <w:szCs w:val="24"/>
        </w:rPr>
        <w:t>Forward primer for puromycin library amplification:</w:t>
      </w:r>
    </w:p>
    <w:p w14:paraId="6CF8F2EC" w14:textId="77777777" w:rsidR="00481FB9" w:rsidRPr="00D33664" w:rsidRDefault="00481FB9" w:rsidP="00481FB9">
      <w:pPr>
        <w:ind w:left="720"/>
        <w:jc w:val="both"/>
        <w:rPr>
          <w:color w:val="000000"/>
          <w:szCs w:val="24"/>
        </w:rPr>
      </w:pPr>
      <w:r w:rsidRPr="00D33664">
        <w:rPr>
          <w:color w:val="000000"/>
          <w:szCs w:val="24"/>
        </w:rPr>
        <w:t xml:space="preserve">TCGTCGGCAGCGTCAGATGTGTATAAGAGACAG </w:t>
      </w:r>
      <w:proofErr w:type="gramStart"/>
      <w:r w:rsidRPr="00D33664">
        <w:rPr>
          <w:color w:val="000000"/>
          <w:szCs w:val="24"/>
        </w:rPr>
        <w:t>-[</w:t>
      </w:r>
      <w:proofErr w:type="gramEnd"/>
      <w:r w:rsidRPr="00D33664">
        <w:rPr>
          <w:color w:val="000000"/>
          <w:szCs w:val="24"/>
        </w:rPr>
        <w:t xml:space="preserve">1N to 4N]- </w:t>
      </w:r>
    </w:p>
    <w:p w14:paraId="258C2C84" w14:textId="77777777" w:rsidR="00481FB9" w:rsidRPr="00D33664" w:rsidRDefault="00481FB9" w:rsidP="00481FB9">
      <w:pPr>
        <w:ind w:left="720"/>
        <w:jc w:val="both"/>
        <w:rPr>
          <w:color w:val="000000"/>
          <w:szCs w:val="24"/>
          <w:u w:val="single"/>
        </w:rPr>
      </w:pPr>
      <w:r w:rsidRPr="00D33664">
        <w:rPr>
          <w:color w:val="000000"/>
          <w:szCs w:val="24"/>
        </w:rPr>
        <w:t>CCTGGTGCATGACCAGAAAGC</w:t>
      </w:r>
    </w:p>
    <w:p w14:paraId="0D948345" w14:textId="77777777" w:rsidR="00481FB9" w:rsidRPr="00D33664" w:rsidRDefault="00481FB9" w:rsidP="00481FB9">
      <w:pPr>
        <w:jc w:val="both"/>
        <w:rPr>
          <w:b/>
          <w:bCs/>
          <w:szCs w:val="24"/>
        </w:rPr>
      </w:pPr>
      <w:r w:rsidRPr="00D33664">
        <w:rPr>
          <w:b/>
          <w:bCs/>
          <w:color w:val="000000"/>
          <w:szCs w:val="24"/>
        </w:rPr>
        <w:t xml:space="preserve">Forward primer for </w:t>
      </w:r>
      <w:proofErr w:type="spellStart"/>
      <w:r w:rsidRPr="00D33664">
        <w:rPr>
          <w:b/>
          <w:bCs/>
          <w:color w:val="000000"/>
          <w:szCs w:val="24"/>
        </w:rPr>
        <w:t>blasticidin</w:t>
      </w:r>
      <w:proofErr w:type="spellEnd"/>
      <w:r w:rsidRPr="00D33664">
        <w:rPr>
          <w:b/>
          <w:bCs/>
          <w:color w:val="000000"/>
          <w:szCs w:val="24"/>
        </w:rPr>
        <w:t xml:space="preserve"> library amplification:</w:t>
      </w:r>
    </w:p>
    <w:p w14:paraId="157CB434" w14:textId="77777777" w:rsidR="00481FB9" w:rsidRPr="00D33664" w:rsidRDefault="00481FB9" w:rsidP="00481FB9">
      <w:pPr>
        <w:ind w:left="720"/>
        <w:jc w:val="both"/>
        <w:rPr>
          <w:color w:val="000000"/>
          <w:szCs w:val="24"/>
        </w:rPr>
      </w:pPr>
      <w:r w:rsidRPr="00D33664">
        <w:rPr>
          <w:color w:val="000000"/>
          <w:szCs w:val="24"/>
        </w:rPr>
        <w:t xml:space="preserve">TCGTCGGCAGCGTCAGATGTGTATAAGAGACAG </w:t>
      </w:r>
      <w:proofErr w:type="gramStart"/>
      <w:r w:rsidRPr="00D33664">
        <w:rPr>
          <w:color w:val="000000"/>
          <w:szCs w:val="24"/>
        </w:rPr>
        <w:t>-[</w:t>
      </w:r>
      <w:proofErr w:type="gramEnd"/>
      <w:r w:rsidRPr="00D33664">
        <w:rPr>
          <w:color w:val="000000"/>
          <w:szCs w:val="24"/>
        </w:rPr>
        <w:t xml:space="preserve">1N to 4N]- </w:t>
      </w:r>
    </w:p>
    <w:p w14:paraId="6C19E2F7" w14:textId="77777777" w:rsidR="00481FB9" w:rsidRPr="00D33664" w:rsidRDefault="00481FB9" w:rsidP="00481FB9">
      <w:pPr>
        <w:ind w:left="720"/>
        <w:jc w:val="both"/>
        <w:rPr>
          <w:color w:val="000000"/>
          <w:szCs w:val="24"/>
          <w:u w:val="single"/>
        </w:rPr>
      </w:pPr>
      <w:r w:rsidRPr="00D33664">
        <w:rPr>
          <w:color w:val="000000"/>
          <w:szCs w:val="24"/>
        </w:rPr>
        <w:t>GTGAATTGCTGCCCTCTGGTTATGTG</w:t>
      </w:r>
    </w:p>
    <w:p w14:paraId="382500C9" w14:textId="77777777" w:rsidR="00481FB9" w:rsidRPr="00D33664" w:rsidRDefault="00481FB9" w:rsidP="00481FB9">
      <w:pPr>
        <w:jc w:val="both"/>
        <w:rPr>
          <w:b/>
          <w:bCs/>
          <w:szCs w:val="24"/>
        </w:rPr>
      </w:pPr>
      <w:r w:rsidRPr="00D33664">
        <w:rPr>
          <w:b/>
          <w:bCs/>
          <w:color w:val="000000"/>
          <w:szCs w:val="24"/>
        </w:rPr>
        <w:t xml:space="preserve">Reverse primer for puromycin and </w:t>
      </w:r>
      <w:proofErr w:type="spellStart"/>
      <w:r w:rsidRPr="00D33664">
        <w:rPr>
          <w:b/>
          <w:bCs/>
          <w:color w:val="000000"/>
          <w:szCs w:val="24"/>
        </w:rPr>
        <w:t>blasticidin</w:t>
      </w:r>
      <w:proofErr w:type="spellEnd"/>
      <w:r w:rsidRPr="00D33664">
        <w:rPr>
          <w:b/>
          <w:bCs/>
          <w:color w:val="000000"/>
          <w:szCs w:val="24"/>
        </w:rPr>
        <w:t xml:space="preserve"> library amplification:</w:t>
      </w:r>
    </w:p>
    <w:p w14:paraId="7E9BFDCD" w14:textId="77777777" w:rsidR="00481FB9" w:rsidRPr="00D33664" w:rsidRDefault="00481FB9" w:rsidP="00481FB9">
      <w:pPr>
        <w:ind w:left="720"/>
        <w:jc w:val="both"/>
        <w:rPr>
          <w:color w:val="000000"/>
          <w:szCs w:val="24"/>
        </w:rPr>
      </w:pPr>
      <w:r w:rsidRPr="00D33664">
        <w:rPr>
          <w:color w:val="000000"/>
          <w:szCs w:val="24"/>
        </w:rPr>
        <w:t xml:space="preserve">GTCTCGTGGGCTCGGAGATGTGTATAAGAGACAG </w:t>
      </w:r>
      <w:proofErr w:type="gramStart"/>
      <w:r w:rsidRPr="00D33664">
        <w:rPr>
          <w:color w:val="000000"/>
          <w:szCs w:val="24"/>
        </w:rPr>
        <w:t>-[</w:t>
      </w:r>
      <w:proofErr w:type="gramEnd"/>
      <w:r w:rsidRPr="00D33664">
        <w:rPr>
          <w:color w:val="000000"/>
          <w:szCs w:val="24"/>
        </w:rPr>
        <w:t xml:space="preserve">1N to 4N]- </w:t>
      </w:r>
    </w:p>
    <w:p w14:paraId="4164990F" w14:textId="77777777" w:rsidR="00481FB9" w:rsidRPr="00D33664" w:rsidRDefault="00481FB9" w:rsidP="00481FB9">
      <w:pPr>
        <w:ind w:left="720"/>
        <w:jc w:val="both"/>
        <w:rPr>
          <w:color w:val="000000"/>
          <w:szCs w:val="24"/>
          <w:u w:val="single"/>
        </w:rPr>
      </w:pPr>
      <w:r w:rsidRPr="00D33664">
        <w:rPr>
          <w:color w:val="000000"/>
          <w:szCs w:val="24"/>
        </w:rPr>
        <w:t>GCACAGTCGAGGCTGATCAG</w:t>
      </w:r>
    </w:p>
    <w:p w14:paraId="4B50AA64" w14:textId="77777777" w:rsidR="00481FB9" w:rsidRPr="00D33664" w:rsidRDefault="00481FB9" w:rsidP="00481FB9">
      <w:pPr>
        <w:jc w:val="both"/>
        <w:rPr>
          <w:szCs w:val="24"/>
        </w:rPr>
      </w:pPr>
    </w:p>
    <w:p w14:paraId="70A5A547" w14:textId="77777777" w:rsidR="00481FB9" w:rsidRPr="00D33664" w:rsidRDefault="00481FB9" w:rsidP="00481FB9">
      <w:pPr>
        <w:jc w:val="both"/>
        <w:rPr>
          <w:szCs w:val="24"/>
        </w:rPr>
      </w:pPr>
      <w:r w:rsidRPr="00D33664">
        <w:rPr>
          <w:szCs w:val="24"/>
        </w:rPr>
        <w:t xml:space="preserve">To assess the balance of library elements, we used </w:t>
      </w:r>
      <w:proofErr w:type="spellStart"/>
      <w:r w:rsidRPr="00D33664">
        <w:rPr>
          <w:szCs w:val="24"/>
        </w:rPr>
        <w:t>FastX</w:t>
      </w:r>
      <w:proofErr w:type="spellEnd"/>
      <w:r w:rsidRPr="00D33664">
        <w:rPr>
          <w:szCs w:val="24"/>
        </w:rPr>
        <w:t xml:space="preserve"> toolkit (v0.0.14) to mask low quality bases (&lt;q20) and collapse reads. We removed common flanking sequences and summed reads for unique barcode sequences. Lentivirus was produced from these plasmid libraries as described above (“Lentiviral production”).</w:t>
      </w:r>
    </w:p>
    <w:p w14:paraId="1DC284AA" w14:textId="77777777" w:rsidR="00481FB9" w:rsidRPr="00D33664" w:rsidRDefault="00481FB9" w:rsidP="00481FB9">
      <w:pPr>
        <w:rPr>
          <w:szCs w:val="24"/>
        </w:rPr>
      </w:pPr>
    </w:p>
    <w:p w14:paraId="4A682894" w14:textId="77777777" w:rsidR="00481FB9" w:rsidRPr="00D33664" w:rsidRDefault="00481FB9" w:rsidP="00481FB9">
      <w:pPr>
        <w:keepNext/>
        <w:keepLines/>
        <w:jc w:val="both"/>
        <w:outlineLvl w:val="2"/>
        <w:rPr>
          <w:bCs/>
          <w:szCs w:val="24"/>
          <w:u w:val="single"/>
        </w:rPr>
      </w:pPr>
      <w:r w:rsidRPr="00D33664">
        <w:rPr>
          <w:bCs/>
          <w:szCs w:val="24"/>
          <w:u w:val="single"/>
        </w:rPr>
        <w:t>Design and cloning of LTC_v2 library</w:t>
      </w:r>
    </w:p>
    <w:p w14:paraId="18E97FCC" w14:textId="77777777" w:rsidR="00481FB9" w:rsidRPr="00D33664" w:rsidRDefault="00481FB9" w:rsidP="00481FB9">
      <w:pPr>
        <w:jc w:val="both"/>
        <w:rPr>
          <w:color w:val="000000"/>
          <w:szCs w:val="24"/>
        </w:rPr>
      </w:pPr>
      <w:r w:rsidRPr="00D33664">
        <w:rPr>
          <w:color w:val="000000"/>
          <w:szCs w:val="24"/>
        </w:rPr>
        <w:t xml:space="preserve">With three edit site sequences selected, we finalized our lineage tracing cassette </w:t>
      </w:r>
      <w:r w:rsidRPr="00D33664">
        <w:rPr>
          <w:szCs w:val="24"/>
        </w:rPr>
        <w:t>design</w:t>
      </w:r>
      <w:r w:rsidRPr="00D33664">
        <w:rPr>
          <w:color w:val="000000"/>
          <w:szCs w:val="24"/>
        </w:rPr>
        <w:t xml:space="preserve">. These cassettes consist of the following sequence organization: 5’-UCOE- EF1a promoter- </w:t>
      </w:r>
      <w:proofErr w:type="spellStart"/>
      <w:r w:rsidRPr="00D33664">
        <w:rPr>
          <w:color w:val="000000"/>
          <w:szCs w:val="24"/>
        </w:rPr>
        <w:t>mCherry</w:t>
      </w:r>
      <w:proofErr w:type="spellEnd"/>
      <w:r w:rsidRPr="00D33664">
        <w:rPr>
          <w:color w:val="000000"/>
          <w:szCs w:val="24"/>
        </w:rPr>
        <w:t xml:space="preserve">- T7 promoter- T3 promoter- </w:t>
      </w:r>
      <w:proofErr w:type="spellStart"/>
      <w:r w:rsidRPr="00D33664">
        <w:rPr>
          <w:color w:val="000000"/>
          <w:szCs w:val="24"/>
        </w:rPr>
        <w:t>PacI</w:t>
      </w:r>
      <w:proofErr w:type="spellEnd"/>
      <w:r w:rsidRPr="00D33664">
        <w:rPr>
          <w:color w:val="000000"/>
          <w:szCs w:val="24"/>
        </w:rPr>
        <w:t xml:space="preserve"> digestion site- 30</w:t>
      </w:r>
      <w:r w:rsidRPr="00D33664">
        <w:rPr>
          <w:szCs w:val="24"/>
        </w:rPr>
        <w:t>nt</w:t>
      </w:r>
      <w:r w:rsidRPr="00D33664">
        <w:rPr>
          <w:color w:val="000000"/>
          <w:szCs w:val="24"/>
        </w:rPr>
        <w:t xml:space="preserve"> sequencing barcodes- sequencing primer- </w:t>
      </w:r>
      <w:r w:rsidRPr="00D33664">
        <w:rPr>
          <w:color w:val="000000"/>
          <w:szCs w:val="24"/>
        </w:rPr>
        <w:lastRenderedPageBreak/>
        <w:t xml:space="preserve">MERFISH decodable </w:t>
      </w:r>
      <w:proofErr w:type="spellStart"/>
      <w:r w:rsidRPr="00D33664">
        <w:rPr>
          <w:color w:val="000000"/>
          <w:szCs w:val="24"/>
        </w:rPr>
        <w:t>intBC</w:t>
      </w:r>
      <w:proofErr w:type="spellEnd"/>
      <w:r w:rsidRPr="00D33664">
        <w:rPr>
          <w:color w:val="000000"/>
          <w:szCs w:val="24"/>
        </w:rPr>
        <w:t xml:space="preserve">- Forward primer for sequencing assays- sequencing </w:t>
      </w:r>
      <w:proofErr w:type="spellStart"/>
      <w:r w:rsidRPr="00D33664">
        <w:rPr>
          <w:color w:val="000000"/>
          <w:szCs w:val="24"/>
        </w:rPr>
        <w:t>intBC</w:t>
      </w:r>
      <w:proofErr w:type="spellEnd"/>
      <w:r w:rsidRPr="00D33664">
        <w:rPr>
          <w:color w:val="000000"/>
          <w:szCs w:val="24"/>
        </w:rPr>
        <w:t xml:space="preserve">- </w:t>
      </w:r>
      <w:proofErr w:type="spellStart"/>
      <w:r w:rsidRPr="00D33664">
        <w:rPr>
          <w:color w:val="000000"/>
          <w:szCs w:val="24"/>
        </w:rPr>
        <w:t>PacI</w:t>
      </w:r>
      <w:proofErr w:type="spellEnd"/>
      <w:r w:rsidRPr="00D33664">
        <w:rPr>
          <w:color w:val="000000"/>
          <w:szCs w:val="24"/>
        </w:rPr>
        <w:t xml:space="preserve"> digestion site- Edit Site 1 and flanking sequences- Edit Site 2 and flanking sequences- Edit Site 3 and flanking sequences- Reverse primer for sequencing assays- </w:t>
      </w:r>
      <w:proofErr w:type="spellStart"/>
      <w:r w:rsidRPr="00D33664">
        <w:rPr>
          <w:color w:val="000000"/>
          <w:szCs w:val="24"/>
        </w:rPr>
        <w:t>polyA</w:t>
      </w:r>
      <w:proofErr w:type="spellEnd"/>
      <w:r w:rsidRPr="00D33664">
        <w:rPr>
          <w:color w:val="000000"/>
          <w:szCs w:val="24"/>
        </w:rPr>
        <w:t>. For lentiviral construct designs, we included 500</w:t>
      </w:r>
      <w:r w:rsidRPr="00D33664">
        <w:rPr>
          <w:szCs w:val="24"/>
        </w:rPr>
        <w:t>nt</w:t>
      </w:r>
      <w:r w:rsidRPr="00D33664">
        <w:rPr>
          <w:color w:val="000000"/>
          <w:szCs w:val="24"/>
        </w:rPr>
        <w:t xml:space="preserve"> of constant sequence downstream for optimizing imaging readout experiments and used a BGH </w:t>
      </w:r>
      <w:proofErr w:type="spellStart"/>
      <w:r w:rsidRPr="00D33664">
        <w:rPr>
          <w:color w:val="000000"/>
          <w:szCs w:val="24"/>
        </w:rPr>
        <w:t>polyA</w:t>
      </w:r>
      <w:proofErr w:type="spellEnd"/>
      <w:r w:rsidRPr="00D33664">
        <w:rPr>
          <w:color w:val="000000"/>
          <w:szCs w:val="24"/>
        </w:rPr>
        <w:t xml:space="preserve"> sequence. </w:t>
      </w:r>
    </w:p>
    <w:p w14:paraId="50D87A44" w14:textId="77777777" w:rsidR="00481FB9" w:rsidRPr="00D33664" w:rsidRDefault="00481FB9" w:rsidP="00481FB9">
      <w:pPr>
        <w:jc w:val="both"/>
        <w:rPr>
          <w:color w:val="000000"/>
          <w:szCs w:val="24"/>
        </w:rPr>
      </w:pPr>
    </w:p>
    <w:p w14:paraId="1BD775A5" w14:textId="77777777" w:rsidR="00481FB9" w:rsidRPr="00D33664" w:rsidRDefault="00481FB9" w:rsidP="00481FB9">
      <w:pPr>
        <w:jc w:val="both"/>
        <w:rPr>
          <w:color w:val="000000"/>
          <w:szCs w:val="24"/>
        </w:rPr>
      </w:pPr>
      <w:r w:rsidRPr="00D33664">
        <w:rPr>
          <w:color w:val="000000"/>
          <w:szCs w:val="24"/>
        </w:rPr>
        <w:t>We generated a lentiviral lineage tracing cassette plasmid library with matching 30</w:t>
      </w:r>
      <w:r w:rsidRPr="00D33664">
        <w:rPr>
          <w:szCs w:val="24"/>
        </w:rPr>
        <w:t>nt</w:t>
      </w:r>
      <w:r w:rsidRPr="00D33664">
        <w:rPr>
          <w:color w:val="000000"/>
          <w:szCs w:val="24"/>
        </w:rPr>
        <w:t xml:space="preserve"> sequencing barcodes and 183</w:t>
      </w:r>
      <w:r w:rsidRPr="00D33664">
        <w:rPr>
          <w:szCs w:val="24"/>
        </w:rPr>
        <w:t>nt</w:t>
      </w:r>
      <w:r w:rsidRPr="00D33664">
        <w:rPr>
          <w:color w:val="000000"/>
          <w:szCs w:val="24"/>
        </w:rPr>
        <w:t xml:space="preserve"> MERFISH barcodes </w:t>
      </w:r>
      <w:r w:rsidRPr="00D33664">
        <w:rPr>
          <w:szCs w:val="24"/>
        </w:rPr>
        <w:t>(LTC_</w:t>
      </w:r>
      <w:r w:rsidRPr="00D33664">
        <w:rPr>
          <w:color w:val="000000"/>
          <w:szCs w:val="24"/>
        </w:rPr>
        <w:t>v2). To design these orthogonal barcodes, we first randomly selected 9 of the 25</w:t>
      </w:r>
      <w:r w:rsidRPr="00D33664">
        <w:rPr>
          <w:szCs w:val="24"/>
        </w:rPr>
        <w:t>nt</w:t>
      </w:r>
      <w:r w:rsidRPr="00D33664">
        <w:rPr>
          <w:color w:val="000000"/>
          <w:szCs w:val="24"/>
        </w:rPr>
        <w:t xml:space="preserve"> orthogonal DNA among 240k published DNA barcodes</w:t>
      </w:r>
      <w:r w:rsidRPr="00D33664">
        <w:rPr>
          <w:szCs w:val="24"/>
        </w:rPr>
        <w:t xml:space="preserve"> </w:t>
      </w:r>
      <w:r w:rsidRPr="00D33664">
        <w:rPr>
          <w:szCs w:val="24"/>
        </w:rPr>
        <w:fldChar w:fldCharType="begin"/>
      </w:r>
      <w:r w:rsidRPr="00D33664">
        <w:rPr>
          <w:szCs w:val="24"/>
        </w:rPr>
        <w:instrText xml:space="preserve"> ADDIN ZOTERO_ITEM CSL_CITATION {"citationID":"a10vgs7h76n","properties":{"formattedCitation":"({\\i{}151})","plainCitation":"(151)","noteIndex":0},"citationItems":[{"id":332,"uris":["http://zotero.org/groups/5868491/items/9AYDZLHS"],"itemData":{"id":332,"type":"article-journal","abstract":"DNA barcodes linked to genetic features greatly facilitate screening these features in pooled formats using microarray hybridization, and new tools are needed to design large sets of barcodes to allow construction of large barcoded mammalian libraries such as shRNA libraries. Here we report a framework for designing large sets of orthogonal barcode probes. We demonstrate the utility of this framework by designing 240,000 barcode probes and testing their performance by hybridization. From the test hybridizations, we also discovered new probe design rules that significantly reduce cross-hybridization after their introduction into the framework of the algorithm. These rules should improve the performance of DNA microarray probe designs for many applications.","container-title":"Proceedings of the National Academy of Sciences of the United States of America","DOI":"10.1073/pnas.0812506106","ISSN":"1091-6490","issue":"7","journalAbbreviation":"Proc Natl Acad Sci U S A","language":"eng","note":"PMID: 19171886\nPMCID: PMC2631075","page":"2289-2294","source":"PubMed","title":"Design of 240,000 orthogonal 25mer DNA barcode probes","volume":"106","author":[{"family":"Xu","given":"Qikai"},{"family":"Schlabach","given":"Michael R."},{"family":"Hannon","given":"Gregory J."},{"family":"Elledge","given":"Stephen J."}],"issued":{"date-parts":[["2009",2,17]]}}}],"schema":"https://github.com/citation-style-language/schema/raw/master/csl-citation.json"} </w:instrText>
      </w:r>
      <w:r w:rsidRPr="00D33664">
        <w:rPr>
          <w:szCs w:val="24"/>
        </w:rPr>
        <w:fldChar w:fldCharType="separate"/>
      </w:r>
      <w:r w:rsidRPr="00D33664">
        <w:rPr>
          <w:szCs w:val="24"/>
        </w:rPr>
        <w:t>(</w:t>
      </w:r>
      <w:r w:rsidRPr="00D33664">
        <w:rPr>
          <w:i/>
          <w:iCs/>
          <w:szCs w:val="24"/>
        </w:rPr>
        <w:t>151</w:t>
      </w:r>
      <w:r w:rsidRPr="00D33664">
        <w:rPr>
          <w:szCs w:val="24"/>
        </w:rPr>
        <w:t>)</w:t>
      </w:r>
      <w:r w:rsidRPr="00D33664">
        <w:rPr>
          <w:szCs w:val="24"/>
        </w:rPr>
        <w:fldChar w:fldCharType="end"/>
      </w:r>
      <w:r w:rsidRPr="00D33664">
        <w:rPr>
          <w:color w:val="000000"/>
          <w:szCs w:val="24"/>
        </w:rPr>
        <w:t xml:space="preserve">, concatenated them in an randomly permuted order and </w:t>
      </w:r>
      <w:r w:rsidRPr="00D33664">
        <w:rPr>
          <w:szCs w:val="24"/>
        </w:rPr>
        <w:t>selected the best permutation</w:t>
      </w:r>
      <w:r w:rsidRPr="00D33664">
        <w:rPr>
          <w:color w:val="000000"/>
          <w:szCs w:val="24"/>
        </w:rPr>
        <w:t xml:space="preserve"> by </w:t>
      </w:r>
      <w:r w:rsidRPr="00D33664">
        <w:rPr>
          <w:szCs w:val="24"/>
        </w:rPr>
        <w:t>checking</w:t>
      </w:r>
      <w:r w:rsidRPr="00D33664">
        <w:rPr>
          <w:color w:val="000000"/>
          <w:szCs w:val="24"/>
        </w:rPr>
        <w:t xml:space="preserve"> if all 15mer are unique to </w:t>
      </w:r>
      <w:r w:rsidRPr="00D33664">
        <w:rPr>
          <w:szCs w:val="24"/>
        </w:rPr>
        <w:t>this</w:t>
      </w:r>
      <w:r w:rsidRPr="00D33664">
        <w:rPr>
          <w:color w:val="000000"/>
          <w:szCs w:val="24"/>
        </w:rPr>
        <w:t xml:space="preserve"> barcode</w:t>
      </w:r>
      <w:r w:rsidRPr="00D33664">
        <w:rPr>
          <w:szCs w:val="24"/>
        </w:rPr>
        <w:t>. We repeated this process to select up to 6,000 candidate barcodes. We then</w:t>
      </w:r>
      <w:r w:rsidRPr="00D33664">
        <w:rPr>
          <w:color w:val="000000"/>
          <w:szCs w:val="24"/>
        </w:rPr>
        <w:t xml:space="preserve"> </w:t>
      </w:r>
      <w:r w:rsidRPr="00D33664">
        <w:rPr>
          <w:szCs w:val="24"/>
        </w:rPr>
        <w:t>predicted the self-binding</w:t>
      </w:r>
      <w:r w:rsidRPr="00D33664">
        <w:rPr>
          <w:color w:val="000000"/>
          <w:szCs w:val="24"/>
        </w:rPr>
        <w:t xml:space="preserve"> partition function by “</w:t>
      </w:r>
      <w:proofErr w:type="spellStart"/>
      <w:r w:rsidRPr="00D33664">
        <w:rPr>
          <w:color w:val="000000"/>
          <w:szCs w:val="24"/>
        </w:rPr>
        <w:t>pfunc</w:t>
      </w:r>
      <w:proofErr w:type="spellEnd"/>
      <w:r w:rsidRPr="00D33664">
        <w:rPr>
          <w:color w:val="000000"/>
          <w:szCs w:val="24"/>
        </w:rPr>
        <w:t xml:space="preserve">” from </w:t>
      </w:r>
      <w:proofErr w:type="spellStart"/>
      <w:r w:rsidRPr="00D33664">
        <w:rPr>
          <w:color w:val="000000"/>
          <w:szCs w:val="24"/>
        </w:rPr>
        <w:t>Nupack</w:t>
      </w:r>
      <w:proofErr w:type="spellEnd"/>
      <w:r w:rsidRPr="00D33664">
        <w:rPr>
          <w:color w:val="000000"/>
          <w:szCs w:val="24"/>
        </w:rPr>
        <w:t xml:space="preserve"> </w:t>
      </w:r>
      <w:r w:rsidRPr="00D33664">
        <w:rPr>
          <w:szCs w:val="24"/>
        </w:rPr>
        <w:fldChar w:fldCharType="begin"/>
      </w:r>
      <w:r w:rsidRPr="00D33664">
        <w:rPr>
          <w:szCs w:val="24"/>
        </w:rPr>
        <w:instrText xml:space="preserve"> ADDIN ZOTERO_ITEM CSL_CITATION {"citationID":"a1or9p8l1od","properties":{"formattedCitation":"({\\i{}149})","plainCitation":"(149)","noteIndex":0},"citationItems":[{"id":387,"uris":["http://zotero.org/groups/5868491/items/NKN5NLZX"],"itemData":{"id":387,"type":"article-journal","abstract":"The Nucleic Acid Package (NUPACK) is a growing software suite for the analysis and design of nucleic acid systems. The NUPACK web server (http://www.nupack.org) currently enables: Analysis: thermodynamic analysis of dilute solutions of interacting nucleic acid strands. Design: sequence design for complexes of nucleic acid strands intended to adopt a target secondary structure at equilibrium. Utilities: evaluation, display, and annotation of equilibrium properties of a complex of nucleic acid strands. NUPACK algorithms are formulated in terms of nucleic acid secondary structure. In most cases, pseudoknots are excluded from the structural ensemble. © 2010 Wiley Periodicals, Inc. J Comput Chem, 2010","container-title":"Journal of Computational Chemistry","DOI":"10.1002/jcc.21596","ISSN":"1096-987X","issue":"1","language":"en","license":"Copyright © 2010 Wiley Periodicals, Inc.","note":"_eprint: https://onlinelibrary.wiley.com/doi/pdf/10.1002/jcc.21596","page":"170-173","source":"Wiley Online Library","title":"NUPACK: Analysis and design of nucleic acid systems","title-short":"NUPACK","volume":"32","author":[{"family":"Zadeh","given":"Joseph N."},{"family":"Steenberg","given":"Conrad D."},{"family":"Bois","given":"Justin S."},{"family":"Wolfe","given":"Brian R."},{"family":"Pierce","given":"Marshall B."},{"family":"Khan","given":"Asif R."},{"family":"Dirks","given":"Robert M."},{"family":"Pierce","given":"Niles A."}],"issued":{"date-parts":[["2011"]]}}}],"schema":"https://github.com/citation-style-language/schema/raw/master/csl-citation.json"} </w:instrText>
      </w:r>
      <w:r w:rsidRPr="00D33664">
        <w:rPr>
          <w:szCs w:val="24"/>
        </w:rPr>
        <w:fldChar w:fldCharType="separate"/>
      </w:r>
      <w:r w:rsidRPr="00D33664">
        <w:rPr>
          <w:szCs w:val="24"/>
        </w:rPr>
        <w:t>(</w:t>
      </w:r>
      <w:r w:rsidRPr="00D33664">
        <w:rPr>
          <w:i/>
          <w:iCs/>
          <w:szCs w:val="24"/>
        </w:rPr>
        <w:t>149</w:t>
      </w:r>
      <w:r w:rsidRPr="00D33664">
        <w:rPr>
          <w:szCs w:val="24"/>
        </w:rPr>
        <w:t>)</w:t>
      </w:r>
      <w:r w:rsidRPr="00D33664">
        <w:rPr>
          <w:szCs w:val="24"/>
        </w:rPr>
        <w:fldChar w:fldCharType="end"/>
      </w:r>
      <w:r w:rsidRPr="00D33664">
        <w:rPr>
          <w:szCs w:val="24"/>
        </w:rPr>
        <w:t xml:space="preserve"> </w:t>
      </w:r>
      <w:r w:rsidRPr="00D33664">
        <w:rPr>
          <w:color w:val="000000"/>
          <w:szCs w:val="24"/>
        </w:rPr>
        <w:t xml:space="preserve">and selected the candidate </w:t>
      </w:r>
      <w:r w:rsidRPr="00D33664">
        <w:rPr>
          <w:szCs w:val="24"/>
        </w:rPr>
        <w:t>barcodes</w:t>
      </w:r>
      <w:r w:rsidRPr="00D33664">
        <w:rPr>
          <w:color w:val="000000"/>
          <w:szCs w:val="24"/>
        </w:rPr>
        <w:t xml:space="preserve"> with highest free energy to minimize </w:t>
      </w:r>
      <w:proofErr w:type="spellStart"/>
      <w:r w:rsidRPr="00D33664">
        <w:rPr>
          <w:color w:val="000000"/>
          <w:szCs w:val="24"/>
        </w:rPr>
        <w:t>self binding</w:t>
      </w:r>
      <w:proofErr w:type="spellEnd"/>
      <w:r w:rsidRPr="00D33664">
        <w:rPr>
          <w:color w:val="000000"/>
          <w:szCs w:val="24"/>
        </w:rPr>
        <w:t xml:space="preserve">. </w:t>
      </w:r>
      <w:r w:rsidRPr="00D33664">
        <w:rPr>
          <w:szCs w:val="24"/>
        </w:rPr>
        <w:t>After filtering, w</w:t>
      </w:r>
      <w:r w:rsidRPr="00D33664">
        <w:rPr>
          <w:color w:val="000000"/>
          <w:szCs w:val="24"/>
        </w:rPr>
        <w:t xml:space="preserve">e inserted the sequencing primer at position 30 </w:t>
      </w:r>
      <w:r w:rsidRPr="00D33664">
        <w:rPr>
          <w:szCs w:val="24"/>
        </w:rPr>
        <w:t>of</w:t>
      </w:r>
      <w:r w:rsidRPr="00D33664">
        <w:rPr>
          <w:color w:val="000000"/>
          <w:szCs w:val="24"/>
        </w:rPr>
        <w:t xml:space="preserve"> </w:t>
      </w:r>
      <w:r w:rsidRPr="00D33664">
        <w:rPr>
          <w:szCs w:val="24"/>
        </w:rPr>
        <w:t xml:space="preserve">candidate barcodes and designated the first 30nt as sequencing </w:t>
      </w:r>
      <w:proofErr w:type="gramStart"/>
      <w:r w:rsidRPr="00D33664">
        <w:rPr>
          <w:szCs w:val="24"/>
        </w:rPr>
        <w:t>barcodes, and</w:t>
      </w:r>
      <w:proofErr w:type="gramEnd"/>
      <w:r w:rsidRPr="00D33664">
        <w:rPr>
          <w:szCs w:val="24"/>
        </w:rPr>
        <w:t xml:space="preserve"> then selected the next 183nt as MERFISH barcodes.</w:t>
      </w:r>
      <w:r w:rsidRPr="00D33664">
        <w:rPr>
          <w:color w:val="000000"/>
          <w:szCs w:val="24"/>
        </w:rPr>
        <w:t xml:space="preserve"> </w:t>
      </w:r>
      <w:r w:rsidRPr="00D33664">
        <w:rPr>
          <w:szCs w:val="24"/>
        </w:rPr>
        <w:t>We</w:t>
      </w:r>
      <w:r w:rsidRPr="00D33664">
        <w:rPr>
          <w:color w:val="000000"/>
          <w:szCs w:val="24"/>
        </w:rPr>
        <w:t xml:space="preserve"> concatenated the </w:t>
      </w:r>
      <w:r w:rsidRPr="00D33664">
        <w:rPr>
          <w:szCs w:val="24"/>
        </w:rPr>
        <w:t>5’</w:t>
      </w:r>
      <w:r w:rsidRPr="00D33664">
        <w:rPr>
          <w:color w:val="000000"/>
          <w:szCs w:val="24"/>
        </w:rPr>
        <w:t xml:space="preserve"> s</w:t>
      </w:r>
      <w:r w:rsidRPr="00D33664">
        <w:rPr>
          <w:szCs w:val="24"/>
        </w:rPr>
        <w:t xml:space="preserve">equence </w:t>
      </w:r>
      <w:r w:rsidRPr="00D33664">
        <w:rPr>
          <w:color w:val="000000"/>
          <w:szCs w:val="24"/>
        </w:rPr>
        <w:t xml:space="preserve">(T7, T3 and </w:t>
      </w:r>
      <w:proofErr w:type="spellStart"/>
      <w:r w:rsidRPr="00D33664">
        <w:rPr>
          <w:color w:val="000000"/>
          <w:szCs w:val="24"/>
        </w:rPr>
        <w:t>PacI</w:t>
      </w:r>
      <w:proofErr w:type="spellEnd"/>
      <w:r w:rsidRPr="00D33664">
        <w:rPr>
          <w:color w:val="000000"/>
          <w:szCs w:val="24"/>
        </w:rPr>
        <w:t xml:space="preserve"> site) and 56</w:t>
      </w:r>
      <w:r w:rsidRPr="00D33664">
        <w:rPr>
          <w:szCs w:val="24"/>
        </w:rPr>
        <w:t>nt</w:t>
      </w:r>
      <w:r w:rsidRPr="00D33664">
        <w:rPr>
          <w:color w:val="000000"/>
          <w:szCs w:val="24"/>
        </w:rPr>
        <w:t xml:space="preserve"> of </w:t>
      </w:r>
      <w:r w:rsidRPr="00D33664">
        <w:rPr>
          <w:szCs w:val="24"/>
        </w:rPr>
        <w:t>3’</w:t>
      </w:r>
      <w:r w:rsidRPr="00D33664">
        <w:rPr>
          <w:color w:val="000000"/>
          <w:szCs w:val="24"/>
        </w:rPr>
        <w:t xml:space="preserve"> sequ</w:t>
      </w:r>
      <w:r w:rsidRPr="00D33664">
        <w:rPr>
          <w:szCs w:val="24"/>
        </w:rPr>
        <w:t xml:space="preserve">ence </w:t>
      </w:r>
      <w:r w:rsidRPr="00D33664">
        <w:rPr>
          <w:color w:val="000000"/>
          <w:szCs w:val="24"/>
        </w:rPr>
        <w:t>(</w:t>
      </w:r>
      <w:r w:rsidRPr="00D33664">
        <w:rPr>
          <w:szCs w:val="24"/>
        </w:rPr>
        <w:t>Edit site 1</w:t>
      </w:r>
      <w:r w:rsidRPr="00D33664">
        <w:rPr>
          <w:color w:val="000000"/>
          <w:szCs w:val="24"/>
        </w:rPr>
        <w:t xml:space="preserve">) together as </w:t>
      </w:r>
      <w:r w:rsidRPr="00D33664">
        <w:rPr>
          <w:szCs w:val="24"/>
        </w:rPr>
        <w:t xml:space="preserve">candidate </w:t>
      </w:r>
      <w:proofErr w:type="spellStart"/>
      <w:r w:rsidRPr="00D33664">
        <w:rPr>
          <w:szCs w:val="24"/>
        </w:rPr>
        <w:t>intBCs</w:t>
      </w:r>
      <w:proofErr w:type="spellEnd"/>
      <w:r w:rsidRPr="00D33664">
        <w:rPr>
          <w:color w:val="000000"/>
          <w:szCs w:val="24"/>
        </w:rPr>
        <w:t xml:space="preserve"> for cross-</w:t>
      </w:r>
      <w:r w:rsidRPr="00D33664">
        <w:rPr>
          <w:szCs w:val="24"/>
        </w:rPr>
        <w:t>hybridization</w:t>
      </w:r>
      <w:r w:rsidRPr="00D33664">
        <w:rPr>
          <w:color w:val="000000"/>
          <w:szCs w:val="24"/>
        </w:rPr>
        <w:t xml:space="preserve"> </w:t>
      </w:r>
      <w:r w:rsidRPr="00D33664">
        <w:rPr>
          <w:szCs w:val="24"/>
        </w:rPr>
        <w:t>testing</w:t>
      </w:r>
      <w:r w:rsidRPr="00D33664">
        <w:rPr>
          <w:color w:val="000000"/>
          <w:szCs w:val="24"/>
        </w:rPr>
        <w:t xml:space="preserve">. </w:t>
      </w:r>
      <w:r w:rsidRPr="00D33664">
        <w:rPr>
          <w:szCs w:val="24"/>
        </w:rPr>
        <w:t xml:space="preserve">We first partitioned each 183nt MERFISH barcode into 6 non-overlapping 30nt </w:t>
      </w:r>
      <w:proofErr w:type="gramStart"/>
      <w:r w:rsidRPr="00D33664">
        <w:rPr>
          <w:szCs w:val="24"/>
        </w:rPr>
        <w:t>segments, and</w:t>
      </w:r>
      <w:proofErr w:type="gramEnd"/>
      <w:r w:rsidRPr="00D33664">
        <w:rPr>
          <w:szCs w:val="24"/>
        </w:rPr>
        <w:t xml:space="preserve"> used the reverse complement of these segments as candidate probes. To evaluate probe cross-hybridization, we enumerated the pairs of candidate </w:t>
      </w:r>
      <w:proofErr w:type="spellStart"/>
      <w:r w:rsidRPr="00D33664">
        <w:rPr>
          <w:szCs w:val="24"/>
        </w:rPr>
        <w:t>intBCs</w:t>
      </w:r>
      <w:proofErr w:type="spellEnd"/>
      <w:r w:rsidRPr="00D33664">
        <w:rPr>
          <w:szCs w:val="24"/>
        </w:rPr>
        <w:t xml:space="preserve">, generated a </w:t>
      </w:r>
      <w:proofErr w:type="spellStart"/>
      <w:r w:rsidRPr="00D33664">
        <w:rPr>
          <w:szCs w:val="24"/>
        </w:rPr>
        <w:t>Nupack</w:t>
      </w:r>
      <w:proofErr w:type="spellEnd"/>
      <w:r w:rsidRPr="00D33664">
        <w:rPr>
          <w:szCs w:val="24"/>
        </w:rPr>
        <w:t xml:space="preserve"> Tube class with the candidate probes and these two candidate </w:t>
      </w:r>
      <w:proofErr w:type="spellStart"/>
      <w:r w:rsidRPr="00D33664">
        <w:rPr>
          <w:szCs w:val="24"/>
        </w:rPr>
        <w:t>intBCs</w:t>
      </w:r>
      <w:proofErr w:type="spellEnd"/>
      <w:r w:rsidRPr="00D33664">
        <w:rPr>
          <w:szCs w:val="24"/>
        </w:rPr>
        <w:t xml:space="preserve">, and predicted the free energy and partition function for all possible bindings. </w:t>
      </w:r>
      <w:r w:rsidRPr="00D33664">
        <w:rPr>
          <w:color w:val="000000"/>
          <w:szCs w:val="24"/>
        </w:rPr>
        <w:t xml:space="preserve">After prediction, we </w:t>
      </w:r>
      <w:r w:rsidRPr="00D33664">
        <w:rPr>
          <w:szCs w:val="24"/>
        </w:rPr>
        <w:t xml:space="preserve">summarized probe cross-hybridization for all candidate </w:t>
      </w:r>
      <w:proofErr w:type="spellStart"/>
      <w:r w:rsidRPr="00D33664">
        <w:rPr>
          <w:szCs w:val="24"/>
        </w:rPr>
        <w:t>intBCs</w:t>
      </w:r>
      <w:proofErr w:type="spellEnd"/>
      <w:r w:rsidRPr="00D33664">
        <w:rPr>
          <w:szCs w:val="24"/>
        </w:rPr>
        <w:t xml:space="preserve"> and retained</w:t>
      </w:r>
      <w:r w:rsidRPr="00D33664">
        <w:rPr>
          <w:color w:val="000000"/>
          <w:szCs w:val="24"/>
        </w:rPr>
        <w:t xml:space="preserve"> </w:t>
      </w:r>
      <w:proofErr w:type="spellStart"/>
      <w:r w:rsidRPr="00D33664">
        <w:rPr>
          <w:szCs w:val="24"/>
        </w:rPr>
        <w:t>intBCs</w:t>
      </w:r>
      <w:proofErr w:type="spellEnd"/>
      <w:r w:rsidRPr="00D33664">
        <w:rPr>
          <w:color w:val="000000"/>
          <w:szCs w:val="24"/>
        </w:rPr>
        <w:t xml:space="preserve"> </w:t>
      </w:r>
      <w:r w:rsidRPr="00D33664">
        <w:rPr>
          <w:szCs w:val="24"/>
        </w:rPr>
        <w:t>with</w:t>
      </w:r>
      <w:r w:rsidRPr="00D33664">
        <w:rPr>
          <w:color w:val="000000"/>
          <w:szCs w:val="24"/>
        </w:rPr>
        <w:t xml:space="preserve"> less than 1% of predicted average probe off-targeting </w:t>
      </w:r>
      <w:r w:rsidRPr="00D33664">
        <w:rPr>
          <w:szCs w:val="24"/>
        </w:rPr>
        <w:t>probability</w:t>
      </w:r>
      <w:r w:rsidRPr="00D33664">
        <w:rPr>
          <w:color w:val="000000"/>
          <w:szCs w:val="24"/>
        </w:rPr>
        <w:t>. For barcodes that passed these requirements, we further filtered to have no 17</w:t>
      </w:r>
      <w:r w:rsidRPr="00D33664">
        <w:rPr>
          <w:szCs w:val="24"/>
        </w:rPr>
        <w:t>nt</w:t>
      </w:r>
      <w:r w:rsidRPr="00D33664">
        <w:rPr>
          <w:color w:val="000000"/>
          <w:szCs w:val="24"/>
        </w:rPr>
        <w:t xml:space="preserve"> matching to human, mouse, zebrafish and drosophila genomes.</w:t>
      </w:r>
    </w:p>
    <w:p w14:paraId="33C906D8" w14:textId="77777777" w:rsidR="00481FB9" w:rsidRPr="00D33664" w:rsidRDefault="00481FB9" w:rsidP="00481FB9">
      <w:pPr>
        <w:jc w:val="both"/>
        <w:rPr>
          <w:color w:val="000000"/>
          <w:szCs w:val="24"/>
        </w:rPr>
      </w:pPr>
    </w:p>
    <w:p w14:paraId="42186662" w14:textId="77777777" w:rsidR="00481FB9" w:rsidRPr="00D33664" w:rsidRDefault="00481FB9" w:rsidP="00481FB9">
      <w:pPr>
        <w:jc w:val="both"/>
        <w:rPr>
          <w:szCs w:val="24"/>
        </w:rPr>
      </w:pPr>
      <w:r w:rsidRPr="00D33664">
        <w:rPr>
          <w:szCs w:val="24"/>
        </w:rPr>
        <w:t xml:space="preserve">As such, we ordered libraries of 2,171 </w:t>
      </w:r>
      <w:proofErr w:type="spellStart"/>
      <w:r w:rsidRPr="00D33664">
        <w:rPr>
          <w:szCs w:val="24"/>
        </w:rPr>
        <w:t>intBCs</w:t>
      </w:r>
      <w:proofErr w:type="spellEnd"/>
      <w:r w:rsidRPr="00D33664">
        <w:rPr>
          <w:szCs w:val="24"/>
        </w:rPr>
        <w:t xml:space="preserve"> from Twist Bioscience and amplified this pooled library using Phusion Green Hot Start II High-Fidelity PCR 2x Master Mix with the following cycle conditions: 98ºC for 2 minutes, [98ºC for 10 seconds, 65ºC for 20 seconds, 72ºC for 1 minute] where the number of cycles for amplification were determined by quantitative PCR, followed by 72ºC for 2 minutes. Given that libraries can be provided with variable quality, this qPCR determination was important for ensuring library quality. Following library amplification, samples were cleaned up with a </w:t>
      </w:r>
      <w:proofErr w:type="spellStart"/>
      <w:r w:rsidRPr="00D33664">
        <w:rPr>
          <w:szCs w:val="24"/>
        </w:rPr>
        <w:t>QIAquick</w:t>
      </w:r>
      <w:proofErr w:type="spellEnd"/>
      <w:r w:rsidRPr="00D33664">
        <w:rPr>
          <w:szCs w:val="24"/>
        </w:rPr>
        <w:t xml:space="preserve"> PCR purification column (Qiagen) according to manufacturer’s protocols. These amplified DNA fragments were assembled into </w:t>
      </w:r>
      <w:proofErr w:type="spellStart"/>
      <w:r w:rsidRPr="00D33664">
        <w:rPr>
          <w:szCs w:val="24"/>
        </w:rPr>
        <w:t>PacI</w:t>
      </w:r>
      <w:proofErr w:type="spellEnd"/>
      <w:r w:rsidRPr="00D33664">
        <w:rPr>
          <w:szCs w:val="24"/>
        </w:rPr>
        <w:t xml:space="preserve">-digested and Quick CIP-treated (NEB) acceptor backbone via Gibson assembly using </w:t>
      </w:r>
      <w:proofErr w:type="spellStart"/>
      <w:r w:rsidRPr="00D33664">
        <w:rPr>
          <w:szCs w:val="24"/>
        </w:rPr>
        <w:t>NEBuilder</w:t>
      </w:r>
      <w:proofErr w:type="spellEnd"/>
      <w:r w:rsidRPr="00D33664">
        <w:rPr>
          <w:szCs w:val="24"/>
        </w:rPr>
        <w:t xml:space="preserve"> 2x HiFi DNA Assembly master mix as large scale 100 </w:t>
      </w:r>
      <w:proofErr w:type="spellStart"/>
      <w:r w:rsidRPr="00D33664">
        <w:rPr>
          <w:szCs w:val="24"/>
        </w:rPr>
        <w:t>μL</w:t>
      </w:r>
      <w:proofErr w:type="spellEnd"/>
      <w:r w:rsidRPr="00D33664">
        <w:rPr>
          <w:szCs w:val="24"/>
        </w:rPr>
        <w:t xml:space="preserve"> reactions described above. The entire 100 </w:t>
      </w:r>
      <w:proofErr w:type="spellStart"/>
      <w:r w:rsidRPr="00D33664">
        <w:rPr>
          <w:szCs w:val="24"/>
        </w:rPr>
        <w:t>μL</w:t>
      </w:r>
      <w:proofErr w:type="spellEnd"/>
      <w:r w:rsidRPr="00D33664">
        <w:rPr>
          <w:szCs w:val="24"/>
        </w:rPr>
        <w:t xml:space="preserve"> of Gibson assembly product was cleaned up using PCR cleanup columns (Qiagen) to remove salts prior to electroporation into </w:t>
      </w:r>
      <w:proofErr w:type="spellStart"/>
      <w:r w:rsidRPr="00D33664">
        <w:rPr>
          <w:szCs w:val="24"/>
        </w:rPr>
        <w:t>MegaX</w:t>
      </w:r>
      <w:proofErr w:type="spellEnd"/>
      <w:r w:rsidRPr="00D33664">
        <w:rPr>
          <w:szCs w:val="24"/>
        </w:rPr>
        <w:t xml:space="preserve"> cells as previously described. Colonies were scraped into a combined pool, grown out for 8 hours in 500 mL terrific broth (TB) containing 100 </w:t>
      </w:r>
      <w:proofErr w:type="spellStart"/>
      <w:r w:rsidRPr="00D33664">
        <w:rPr>
          <w:szCs w:val="24"/>
        </w:rPr>
        <w:t>μg</w:t>
      </w:r>
      <w:proofErr w:type="spellEnd"/>
      <w:r w:rsidRPr="00D33664">
        <w:rPr>
          <w:szCs w:val="24"/>
        </w:rPr>
        <w:t xml:space="preserve">/mL carbenicillin, and midi-prepped using the </w:t>
      </w:r>
      <w:proofErr w:type="spellStart"/>
      <w:r w:rsidRPr="00D33664">
        <w:rPr>
          <w:szCs w:val="24"/>
        </w:rPr>
        <w:t>ZymoPure</w:t>
      </w:r>
      <w:proofErr w:type="spellEnd"/>
      <w:r w:rsidRPr="00D33664">
        <w:rPr>
          <w:szCs w:val="24"/>
        </w:rPr>
        <w:t xml:space="preserve"> II Plasmid </w:t>
      </w:r>
      <w:proofErr w:type="spellStart"/>
      <w:r w:rsidRPr="00D33664">
        <w:rPr>
          <w:szCs w:val="24"/>
        </w:rPr>
        <w:t>Midiprep</w:t>
      </w:r>
      <w:proofErr w:type="spellEnd"/>
      <w:r w:rsidRPr="00D33664">
        <w:rPr>
          <w:szCs w:val="24"/>
        </w:rPr>
        <w:t xml:space="preserve"> Kit (</w:t>
      </w:r>
      <w:proofErr w:type="spellStart"/>
      <w:r w:rsidRPr="00D33664">
        <w:rPr>
          <w:szCs w:val="24"/>
        </w:rPr>
        <w:t>Zymo</w:t>
      </w:r>
      <w:proofErr w:type="spellEnd"/>
      <w:r w:rsidRPr="00D33664">
        <w:rPr>
          <w:szCs w:val="24"/>
        </w:rPr>
        <w:t xml:space="preserve"> Research) following manufacturer’s procedures.</w:t>
      </w:r>
    </w:p>
    <w:p w14:paraId="3D1C963E" w14:textId="77777777" w:rsidR="00481FB9" w:rsidRPr="00D33664" w:rsidRDefault="00481FB9" w:rsidP="00481FB9">
      <w:pPr>
        <w:jc w:val="both"/>
        <w:rPr>
          <w:szCs w:val="24"/>
        </w:rPr>
      </w:pPr>
    </w:p>
    <w:p w14:paraId="0CBC9DCC" w14:textId="77777777" w:rsidR="00481FB9" w:rsidRPr="00D33664" w:rsidRDefault="00481FB9" w:rsidP="00481FB9">
      <w:pPr>
        <w:widowControl w:val="0"/>
        <w:jc w:val="both"/>
        <w:rPr>
          <w:szCs w:val="24"/>
        </w:rPr>
      </w:pPr>
      <w:r w:rsidRPr="00D33664">
        <w:rPr>
          <w:b/>
          <w:bCs/>
          <w:szCs w:val="24"/>
        </w:rPr>
        <w:t>LTCv2 Cloning Forward primer:</w:t>
      </w:r>
      <w:r w:rsidRPr="00D33664">
        <w:rPr>
          <w:b/>
          <w:szCs w:val="24"/>
        </w:rPr>
        <w:t xml:space="preserve"> </w:t>
      </w:r>
      <w:r w:rsidRPr="00D33664">
        <w:rPr>
          <w:szCs w:val="24"/>
        </w:rPr>
        <w:t>AATTAACCCTCACTAAAGGGATAATTTAATTAA</w:t>
      </w:r>
    </w:p>
    <w:p w14:paraId="3AFE4359" w14:textId="77777777" w:rsidR="00481FB9" w:rsidRPr="00D33664" w:rsidRDefault="00481FB9" w:rsidP="00481FB9">
      <w:pPr>
        <w:widowControl w:val="0"/>
        <w:jc w:val="both"/>
        <w:rPr>
          <w:szCs w:val="24"/>
        </w:rPr>
      </w:pPr>
      <w:r w:rsidRPr="00D33664">
        <w:rPr>
          <w:b/>
          <w:bCs/>
          <w:szCs w:val="24"/>
        </w:rPr>
        <w:t>LTCv2 Cloning Reverse primer:</w:t>
      </w:r>
      <w:r w:rsidRPr="00D33664">
        <w:rPr>
          <w:szCs w:val="24"/>
        </w:rPr>
        <w:t xml:space="preserve"> GTCGTAATGACTAAGATGACTGCCATTAATTAA</w:t>
      </w:r>
    </w:p>
    <w:p w14:paraId="476A7590" w14:textId="77777777" w:rsidR="00481FB9" w:rsidRPr="00D33664" w:rsidRDefault="00481FB9" w:rsidP="00481FB9">
      <w:pPr>
        <w:widowControl w:val="0"/>
        <w:jc w:val="both"/>
        <w:rPr>
          <w:szCs w:val="24"/>
        </w:rPr>
      </w:pPr>
    </w:p>
    <w:p w14:paraId="5A2CF30C" w14:textId="77777777" w:rsidR="00481FB9" w:rsidRPr="00D33664" w:rsidRDefault="00481FB9" w:rsidP="00481FB9">
      <w:pPr>
        <w:jc w:val="both"/>
        <w:rPr>
          <w:bCs/>
          <w:szCs w:val="24"/>
          <w:u w:val="single"/>
        </w:rPr>
      </w:pPr>
      <w:r w:rsidRPr="00D33664">
        <w:rPr>
          <w:bCs/>
          <w:szCs w:val="24"/>
          <w:u w:val="single"/>
        </w:rPr>
        <w:t>Sequence validation and analysis of LTC_v2 library</w:t>
      </w:r>
    </w:p>
    <w:p w14:paraId="0974F61E" w14:textId="77777777" w:rsidR="00481FB9" w:rsidRPr="00D33664" w:rsidRDefault="00481FB9" w:rsidP="00481FB9">
      <w:pPr>
        <w:jc w:val="both"/>
        <w:rPr>
          <w:szCs w:val="24"/>
        </w:rPr>
      </w:pPr>
      <w:r w:rsidRPr="00D33664">
        <w:rPr>
          <w:szCs w:val="24"/>
        </w:rPr>
        <w:lastRenderedPageBreak/>
        <w:t xml:space="preserve">Lentiviral plasmid libraries were sequence confirmed as described for the 1,024 </w:t>
      </w:r>
      <w:proofErr w:type="spellStart"/>
      <w:r w:rsidRPr="00D33664">
        <w:rPr>
          <w:szCs w:val="24"/>
        </w:rPr>
        <w:t>epegRNA</w:t>
      </w:r>
      <w:proofErr w:type="spellEnd"/>
      <w:r w:rsidRPr="00D33664">
        <w:rPr>
          <w:szCs w:val="24"/>
        </w:rPr>
        <w:t xml:space="preserve"> libraries with modest differences. As before, plasmid libraries were amplified with two successive rounds of PCR as done to sequence genomic loci. PCR1 was performed using Phusion Green Hot Start II High-Fidelity PCR 2x Master Mix with the following cycle conditions: 98ºC for 2 minutes, [98ºC for 10 seconds, 65ºC for 20 seconds, 72ºC for 1 minute] where the cycle number was determined by qPCR, followed by 72ºC for 2 minutes, and a hold at 12ºC. PCR2, gel extraction, library preparation, and sequencing were carried out as before. </w:t>
      </w:r>
    </w:p>
    <w:p w14:paraId="67129FCF" w14:textId="77777777" w:rsidR="00481FB9" w:rsidRPr="00D33664" w:rsidRDefault="00481FB9" w:rsidP="00481FB9">
      <w:pPr>
        <w:jc w:val="both"/>
        <w:rPr>
          <w:szCs w:val="24"/>
        </w:rPr>
      </w:pPr>
    </w:p>
    <w:p w14:paraId="5089A9E8" w14:textId="77777777" w:rsidR="00481FB9" w:rsidRPr="00D33664" w:rsidRDefault="00481FB9" w:rsidP="00481FB9">
      <w:pPr>
        <w:jc w:val="both"/>
        <w:rPr>
          <w:b/>
          <w:bCs/>
          <w:szCs w:val="24"/>
        </w:rPr>
      </w:pPr>
      <w:proofErr w:type="spellStart"/>
      <w:r w:rsidRPr="00D33664">
        <w:rPr>
          <w:b/>
          <w:bCs/>
          <w:szCs w:val="24"/>
        </w:rPr>
        <w:t>intBC</w:t>
      </w:r>
      <w:proofErr w:type="spellEnd"/>
      <w:r w:rsidRPr="00D33664">
        <w:rPr>
          <w:b/>
          <w:bCs/>
          <w:szCs w:val="24"/>
        </w:rPr>
        <w:t xml:space="preserve"> Sequencing Validation Forward primer:</w:t>
      </w:r>
    </w:p>
    <w:p w14:paraId="4C47FDBA" w14:textId="77777777" w:rsidR="00481FB9" w:rsidRPr="00D33664" w:rsidRDefault="00481FB9" w:rsidP="00481FB9">
      <w:pPr>
        <w:ind w:left="720"/>
        <w:jc w:val="both"/>
        <w:rPr>
          <w:szCs w:val="24"/>
        </w:rPr>
      </w:pPr>
      <w:r w:rsidRPr="00D33664">
        <w:rPr>
          <w:szCs w:val="24"/>
        </w:rPr>
        <w:t>TCGTCGGCAGCGTCAGATGTGTATAAGAGACAG-[1N-4N]-GTAATTAACCCTCACTAAAGG</w:t>
      </w:r>
    </w:p>
    <w:p w14:paraId="00DD9740" w14:textId="77777777" w:rsidR="00481FB9" w:rsidRPr="00D33664" w:rsidRDefault="00481FB9" w:rsidP="00481FB9">
      <w:pPr>
        <w:jc w:val="both"/>
        <w:rPr>
          <w:b/>
          <w:bCs/>
          <w:szCs w:val="24"/>
        </w:rPr>
      </w:pPr>
      <w:proofErr w:type="spellStart"/>
      <w:r w:rsidRPr="00D33664">
        <w:rPr>
          <w:b/>
          <w:bCs/>
          <w:szCs w:val="24"/>
        </w:rPr>
        <w:t>intBC</w:t>
      </w:r>
      <w:proofErr w:type="spellEnd"/>
      <w:r w:rsidRPr="00D33664">
        <w:rPr>
          <w:b/>
          <w:bCs/>
          <w:szCs w:val="24"/>
        </w:rPr>
        <w:t xml:space="preserve"> Sequencing Validation Reverse primer: </w:t>
      </w:r>
    </w:p>
    <w:p w14:paraId="50001B16" w14:textId="77777777" w:rsidR="00481FB9" w:rsidRPr="00D33664" w:rsidRDefault="00481FB9" w:rsidP="00481FB9">
      <w:pPr>
        <w:ind w:left="720"/>
        <w:jc w:val="both"/>
        <w:rPr>
          <w:szCs w:val="24"/>
        </w:rPr>
      </w:pPr>
      <w:r w:rsidRPr="00D33664">
        <w:rPr>
          <w:szCs w:val="24"/>
        </w:rPr>
        <w:t>TCGTCGGCAGCGTCAGATGTGTATAAGAGACAG-[1N-4N]-CATCGATACCTAATACGACTCACTATAGGGAGAG</w:t>
      </w:r>
    </w:p>
    <w:p w14:paraId="2F1BF49C" w14:textId="77777777" w:rsidR="00481FB9" w:rsidRPr="00D33664" w:rsidRDefault="00481FB9" w:rsidP="00481FB9">
      <w:pPr>
        <w:jc w:val="both"/>
        <w:rPr>
          <w:szCs w:val="24"/>
        </w:rPr>
      </w:pPr>
    </w:p>
    <w:p w14:paraId="5E83CCE7" w14:textId="77777777" w:rsidR="00481FB9" w:rsidRPr="00D33664" w:rsidRDefault="00481FB9" w:rsidP="00481FB9">
      <w:pPr>
        <w:jc w:val="both"/>
        <w:rPr>
          <w:szCs w:val="24"/>
        </w:rPr>
      </w:pPr>
      <w:r w:rsidRPr="00D33664">
        <w:rPr>
          <w:szCs w:val="24"/>
        </w:rPr>
        <w:t xml:space="preserve">To assess the balance of library elements, we used the </w:t>
      </w:r>
      <w:proofErr w:type="spellStart"/>
      <w:r w:rsidRPr="00D33664">
        <w:rPr>
          <w:szCs w:val="24"/>
        </w:rPr>
        <w:t>FastX</w:t>
      </w:r>
      <w:proofErr w:type="spellEnd"/>
      <w:r w:rsidRPr="00D33664">
        <w:rPr>
          <w:szCs w:val="24"/>
        </w:rPr>
        <w:t xml:space="preserve"> toolkit (v0.0.14) to mask low quality bases (&lt;q20) and collapse reads. We removed common flanking sequences and summed reads matching the whitelist of </w:t>
      </w:r>
      <w:proofErr w:type="spellStart"/>
      <w:r w:rsidRPr="00D33664">
        <w:rPr>
          <w:szCs w:val="24"/>
        </w:rPr>
        <w:t>intBC</w:t>
      </w:r>
      <w:proofErr w:type="spellEnd"/>
      <w:r w:rsidRPr="00D33664">
        <w:rPr>
          <w:szCs w:val="24"/>
        </w:rPr>
        <w:t xml:space="preserve"> barcodes for sequences with Hamming distance &lt;4 to account for sequencing errors and the length of </w:t>
      </w:r>
      <w:proofErr w:type="spellStart"/>
      <w:r w:rsidRPr="00D33664">
        <w:rPr>
          <w:szCs w:val="24"/>
        </w:rPr>
        <w:t>intBC</w:t>
      </w:r>
      <w:proofErr w:type="spellEnd"/>
      <w:r w:rsidRPr="00D33664">
        <w:rPr>
          <w:szCs w:val="24"/>
        </w:rPr>
        <w:t xml:space="preserve"> sequences. </w:t>
      </w:r>
    </w:p>
    <w:p w14:paraId="518AB785" w14:textId="77777777" w:rsidR="00FE3E38" w:rsidRDefault="00FE3E38"/>
    <w:sectPr w:rsidR="00FE3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B9"/>
    <w:rsid w:val="002F53A8"/>
    <w:rsid w:val="00481FB9"/>
    <w:rsid w:val="007562F4"/>
    <w:rsid w:val="008F0C63"/>
    <w:rsid w:val="00AB5ACC"/>
    <w:rsid w:val="00D1443D"/>
    <w:rsid w:val="00E102B0"/>
    <w:rsid w:val="00FE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04A7B0"/>
  <w15:chartTrackingRefBased/>
  <w15:docId w15:val="{C122BBAA-DC81-9E42-A6B8-A499038C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FB9"/>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481FB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81FB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81FB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81FB9"/>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481FB9"/>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481FB9"/>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481FB9"/>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481FB9"/>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481FB9"/>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FB9"/>
    <w:rPr>
      <w:rFonts w:eastAsiaTheme="majorEastAsia" w:cstheme="majorBidi"/>
      <w:color w:val="272727" w:themeColor="text1" w:themeTint="D8"/>
    </w:rPr>
  </w:style>
  <w:style w:type="paragraph" w:styleId="Title">
    <w:name w:val="Title"/>
    <w:basedOn w:val="Normal"/>
    <w:next w:val="Normal"/>
    <w:link w:val="TitleChar"/>
    <w:uiPriority w:val="10"/>
    <w:qFormat/>
    <w:rsid w:val="00481FB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81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FB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1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FB9"/>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481FB9"/>
    <w:rPr>
      <w:i/>
      <w:iCs/>
      <w:color w:val="404040" w:themeColor="text1" w:themeTint="BF"/>
    </w:rPr>
  </w:style>
  <w:style w:type="paragraph" w:styleId="ListParagraph">
    <w:name w:val="List Paragraph"/>
    <w:basedOn w:val="Normal"/>
    <w:uiPriority w:val="34"/>
    <w:qFormat/>
    <w:rsid w:val="00481FB9"/>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481FB9"/>
    <w:rPr>
      <w:i/>
      <w:iCs/>
      <w:color w:val="0F4761" w:themeColor="accent1" w:themeShade="BF"/>
    </w:rPr>
  </w:style>
  <w:style w:type="paragraph" w:styleId="IntenseQuote">
    <w:name w:val="Intense Quote"/>
    <w:basedOn w:val="Normal"/>
    <w:next w:val="Normal"/>
    <w:link w:val="IntenseQuoteChar"/>
    <w:uiPriority w:val="30"/>
    <w:qFormat/>
    <w:rsid w:val="00481FB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481FB9"/>
    <w:rPr>
      <w:i/>
      <w:iCs/>
      <w:color w:val="0F4761" w:themeColor="accent1" w:themeShade="BF"/>
    </w:rPr>
  </w:style>
  <w:style w:type="character" w:styleId="IntenseReference">
    <w:name w:val="Intense Reference"/>
    <w:basedOn w:val="DefaultParagraphFont"/>
    <w:uiPriority w:val="32"/>
    <w:qFormat/>
    <w:rsid w:val="00481F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1640</Words>
  <Characters>9351</Characters>
  <Application>Microsoft Office Word</Application>
  <DocSecurity>0</DocSecurity>
  <Lines>77</Lines>
  <Paragraphs>21</Paragraphs>
  <ScaleCrop>false</ScaleCrop>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Timoneda</dc:creator>
  <cp:keywords/>
  <dc:description/>
  <cp:lastModifiedBy>Alfonso  Timoneda</cp:lastModifiedBy>
  <cp:revision>1</cp:revision>
  <dcterms:created xsi:type="dcterms:W3CDTF">2025-05-16T18:48:00Z</dcterms:created>
  <dcterms:modified xsi:type="dcterms:W3CDTF">2025-05-16T18:49:00Z</dcterms:modified>
</cp:coreProperties>
</file>