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0087" w:rsidRDefault="0069121D" w:rsidP="009E757E">
      <w:pPr>
        <w:pStyle w:val="Heading1"/>
        <w:jc w:val="both"/>
        <w:rPr>
          <w:lang w:val="en-US"/>
        </w:rPr>
      </w:pPr>
      <w:r>
        <w:rPr>
          <w:lang w:val="en-US"/>
        </w:rPr>
        <w:t>CRISPR targeting in hES cells</w:t>
      </w:r>
    </w:p>
    <w:p w:rsidR="002E5C84" w:rsidRPr="002E5C84" w:rsidRDefault="00BD3DB7" w:rsidP="0018602E">
      <w:pPr>
        <w:pStyle w:val="NoSpacing"/>
        <w:rPr>
          <w:lang w:val="en-US"/>
        </w:rPr>
      </w:pPr>
      <w:r>
        <w:rPr>
          <w:lang w:val="en-US"/>
        </w:rPr>
        <w:t>1</w:t>
      </w:r>
      <w:r w:rsidR="008E79A3">
        <w:rPr>
          <w:lang w:val="en-US"/>
        </w:rPr>
        <w:t>7</w:t>
      </w:r>
      <w:r>
        <w:rPr>
          <w:lang w:val="en-US"/>
        </w:rPr>
        <w:t>061</w:t>
      </w:r>
      <w:r w:rsidR="008E79A3">
        <w:rPr>
          <w:lang w:val="en-US"/>
        </w:rPr>
        <w:t>6</w:t>
      </w:r>
      <w:r>
        <w:rPr>
          <w:lang w:val="en-US"/>
        </w:rPr>
        <w:t xml:space="preserve"> MIA</w:t>
      </w:r>
      <w:r w:rsidR="00464EBB">
        <w:rPr>
          <w:lang w:val="en-US"/>
        </w:rPr>
        <w:t xml:space="preserve"> v1.4</w:t>
      </w:r>
    </w:p>
    <w:p w:rsidR="0069121D" w:rsidRPr="0069121D" w:rsidRDefault="0069121D" w:rsidP="009E757E">
      <w:pPr>
        <w:pStyle w:val="Heading2"/>
        <w:jc w:val="both"/>
        <w:rPr>
          <w:lang w:val="en-US"/>
        </w:rPr>
      </w:pPr>
      <w:r>
        <w:rPr>
          <w:lang w:val="en-US"/>
        </w:rPr>
        <w:t>Knock-out cells</w:t>
      </w:r>
    </w:p>
    <w:p w:rsidR="0069121D" w:rsidRDefault="0069121D" w:rsidP="009E757E">
      <w:pPr>
        <w:pStyle w:val="ListParagraph"/>
        <w:numPr>
          <w:ilvl w:val="0"/>
          <w:numId w:val="1"/>
        </w:numPr>
        <w:jc w:val="both"/>
        <w:rPr>
          <w:lang w:val="en-US"/>
        </w:rPr>
      </w:pPr>
      <w:r>
        <w:rPr>
          <w:lang w:val="en-US"/>
        </w:rPr>
        <w:t>Design gRNAs using Benchling (or other online server)</w:t>
      </w:r>
    </w:p>
    <w:p w:rsidR="0069121D" w:rsidRDefault="005A25D6" w:rsidP="009E757E">
      <w:pPr>
        <w:pStyle w:val="ListParagraph"/>
        <w:numPr>
          <w:ilvl w:val="1"/>
          <w:numId w:val="1"/>
        </w:numPr>
        <w:jc w:val="both"/>
        <w:rPr>
          <w:lang w:val="en-US"/>
        </w:rPr>
      </w:pPr>
      <w:r>
        <w:rPr>
          <w:lang w:val="en-US"/>
        </w:rPr>
        <w:t>Consider KO strategy;</w:t>
      </w:r>
      <w:r w:rsidR="0069121D">
        <w:rPr>
          <w:lang w:val="en-US"/>
        </w:rPr>
        <w:t xml:space="preserve"> If using just one gRNA you are relying on a framesh</w:t>
      </w:r>
      <w:r w:rsidR="0031385C">
        <w:rPr>
          <w:lang w:val="en-US"/>
        </w:rPr>
        <w:t>ift to take place for your KO (2</w:t>
      </w:r>
      <w:r w:rsidR="0069121D">
        <w:rPr>
          <w:lang w:val="en-US"/>
        </w:rPr>
        <w:t xml:space="preserve">/3 chance for each </w:t>
      </w:r>
      <w:r w:rsidR="0031385C">
        <w:rPr>
          <w:lang w:val="en-US"/>
        </w:rPr>
        <w:t xml:space="preserve">successful </w:t>
      </w:r>
      <w:r w:rsidR="0069121D">
        <w:rPr>
          <w:lang w:val="en-US"/>
        </w:rPr>
        <w:t>targeting</w:t>
      </w:r>
      <w:r w:rsidR="0031385C">
        <w:rPr>
          <w:lang w:val="en-US"/>
        </w:rPr>
        <w:t xml:space="preserve"> event</w:t>
      </w:r>
      <w:r w:rsidR="0069121D">
        <w:rPr>
          <w:lang w:val="en-US"/>
        </w:rPr>
        <w:t>). With 1 gRNA only one targeting event needs to take place per allele. Using a pair of gRNA you can e.g. cut out all of Exon1 (or perhaps the critical functional part of the protein), but 2 targeting events per allele are needed.</w:t>
      </w:r>
    </w:p>
    <w:p w:rsidR="0069121D" w:rsidRDefault="0069121D" w:rsidP="009E757E">
      <w:pPr>
        <w:pStyle w:val="ListParagraph"/>
        <w:numPr>
          <w:ilvl w:val="1"/>
          <w:numId w:val="1"/>
        </w:numPr>
        <w:jc w:val="both"/>
        <w:rPr>
          <w:lang w:val="en-US"/>
        </w:rPr>
      </w:pPr>
      <w:r>
        <w:rPr>
          <w:lang w:val="en-US"/>
        </w:rPr>
        <w:t>Order a selection of the best available gRNAs</w:t>
      </w:r>
      <w:r w:rsidR="00DA7435">
        <w:rPr>
          <w:lang w:val="en-US"/>
        </w:rPr>
        <w:t>, according to the predicted off target and on target scores</w:t>
      </w:r>
      <w:r>
        <w:rPr>
          <w:lang w:val="en-US"/>
        </w:rPr>
        <w:t xml:space="preserve">. </w:t>
      </w:r>
      <w:r w:rsidR="00AE09C1">
        <w:rPr>
          <w:lang w:val="en-US"/>
        </w:rPr>
        <w:t xml:space="preserve">For pMIA3 plasmid </w:t>
      </w:r>
      <w:r w:rsidR="0056036F">
        <w:rPr>
          <w:lang w:val="en-US"/>
        </w:rPr>
        <w:t xml:space="preserve">(fig 1.) </w:t>
      </w:r>
      <w:r w:rsidR="00AE09C1">
        <w:rPr>
          <w:lang w:val="en-US"/>
        </w:rPr>
        <w:t xml:space="preserve">you can only use gRNAs that start with a G (due to use of eSpCas9, enhanced specificity mutant). </w:t>
      </w:r>
      <w:r>
        <w:rPr>
          <w:lang w:val="en-US"/>
        </w:rPr>
        <w:t xml:space="preserve">You need at least two independent gRNAs, or pairs, </w:t>
      </w:r>
      <w:r w:rsidR="00DA7435">
        <w:rPr>
          <w:lang w:val="en-US"/>
        </w:rPr>
        <w:t>for each target</w:t>
      </w:r>
      <w:r w:rsidR="005A25D6">
        <w:rPr>
          <w:lang w:val="en-US"/>
        </w:rPr>
        <w:t xml:space="preserve"> in order to exclude possible off target effects</w:t>
      </w:r>
      <w:r w:rsidR="00DA7435">
        <w:rPr>
          <w:lang w:val="en-US"/>
        </w:rPr>
        <w:t>. However you should order more than just two for testing (perhaps 3 or 4). Not all gRNAs work as well as the prediction algorithms say.</w:t>
      </w:r>
      <w:r w:rsidR="00AE09C1">
        <w:rPr>
          <w:lang w:val="en-US"/>
        </w:rPr>
        <w:t xml:space="preserve"> Order gRNAs as F and R oligo pairs from IDT with </w:t>
      </w:r>
      <w:r w:rsidR="00A3359E">
        <w:rPr>
          <w:lang w:val="en-US"/>
        </w:rPr>
        <w:t>CACC</w:t>
      </w:r>
      <w:r w:rsidR="004A126D">
        <w:rPr>
          <w:lang w:val="en-US"/>
        </w:rPr>
        <w:t>-</w:t>
      </w:r>
      <w:r w:rsidR="00A3359E">
        <w:rPr>
          <w:lang w:val="en-US"/>
        </w:rPr>
        <w:t xml:space="preserve"> and AAAC</w:t>
      </w:r>
      <w:r w:rsidR="004A126D">
        <w:rPr>
          <w:lang w:val="en-US"/>
        </w:rPr>
        <w:t>-</w:t>
      </w:r>
      <w:r w:rsidR="00A3359E">
        <w:rPr>
          <w:lang w:val="en-US"/>
        </w:rPr>
        <w:t xml:space="preserve"> 5’ overhangs respectively.</w:t>
      </w:r>
    </w:p>
    <w:p w:rsidR="00DA7435" w:rsidRDefault="009D3D72" w:rsidP="009E757E">
      <w:pPr>
        <w:pStyle w:val="ListParagraph"/>
        <w:numPr>
          <w:ilvl w:val="0"/>
          <w:numId w:val="1"/>
        </w:numPr>
        <w:jc w:val="both"/>
        <w:rPr>
          <w:lang w:val="en-US"/>
        </w:rPr>
      </w:pPr>
      <w:r>
        <w:rPr>
          <w:lang w:val="en-US"/>
        </w:rPr>
        <w:t xml:space="preserve">Amplify </w:t>
      </w:r>
      <w:r w:rsidR="005A25D6">
        <w:rPr>
          <w:lang w:val="en-US"/>
        </w:rPr>
        <w:t xml:space="preserve">the </w:t>
      </w:r>
      <w:r>
        <w:rPr>
          <w:lang w:val="en-US"/>
        </w:rPr>
        <w:t xml:space="preserve">target region from </w:t>
      </w:r>
      <w:r w:rsidR="00E92E05">
        <w:rPr>
          <w:lang w:val="en-US"/>
        </w:rPr>
        <w:t xml:space="preserve">gDNA of target </w:t>
      </w:r>
      <w:r w:rsidR="00760BA8">
        <w:rPr>
          <w:lang w:val="en-US"/>
        </w:rPr>
        <w:t xml:space="preserve">cells </w:t>
      </w:r>
      <w:r w:rsidR="00A3359E">
        <w:rPr>
          <w:lang w:val="en-US"/>
        </w:rPr>
        <w:t>and</w:t>
      </w:r>
      <w:r w:rsidR="00760BA8">
        <w:rPr>
          <w:lang w:val="en-US"/>
        </w:rPr>
        <w:t xml:space="preserve"> clone into </w:t>
      </w:r>
      <w:r w:rsidR="00A3359E">
        <w:rPr>
          <w:lang w:val="en-US"/>
        </w:rPr>
        <w:t>the MCS</w:t>
      </w:r>
      <w:r w:rsidR="004A126D">
        <w:rPr>
          <w:lang w:val="en-US"/>
        </w:rPr>
        <w:t xml:space="preserve"> (</w:t>
      </w:r>
      <w:proofErr w:type="spellStart"/>
      <w:r w:rsidR="004A126D">
        <w:rPr>
          <w:lang w:val="en-US"/>
        </w:rPr>
        <w:t>e.g.SalI</w:t>
      </w:r>
      <w:proofErr w:type="spellEnd"/>
      <w:r w:rsidR="004A126D">
        <w:rPr>
          <w:lang w:val="en-US"/>
        </w:rPr>
        <w:t>-site)</w:t>
      </w:r>
      <w:r w:rsidR="00A3359E">
        <w:rPr>
          <w:lang w:val="en-US"/>
        </w:rPr>
        <w:t xml:space="preserve"> of </w:t>
      </w:r>
      <w:r w:rsidR="00760BA8">
        <w:rPr>
          <w:lang w:val="en-US"/>
        </w:rPr>
        <w:t xml:space="preserve">eGxxFP test plasmid </w:t>
      </w:r>
      <w:r w:rsidR="006969E2">
        <w:rPr>
          <w:lang w:val="en-US"/>
        </w:rPr>
        <w:t>(</w:t>
      </w:r>
      <w:r w:rsidR="00A3359E">
        <w:rPr>
          <w:lang w:val="en-US"/>
        </w:rPr>
        <w:t>A</w:t>
      </w:r>
      <w:r w:rsidR="00435172">
        <w:rPr>
          <w:lang w:val="en-US"/>
        </w:rPr>
        <w:t>ddgene #</w:t>
      </w:r>
      <w:r w:rsidR="005C0AA4" w:rsidRPr="005C0AA4">
        <w:rPr>
          <w:lang w:val="en-US"/>
        </w:rPr>
        <w:t>50716</w:t>
      </w:r>
      <w:r w:rsidR="0056036F">
        <w:rPr>
          <w:lang w:val="en-US"/>
        </w:rPr>
        <w:t>, fig 2.</w:t>
      </w:r>
      <w:r w:rsidR="00435172">
        <w:rPr>
          <w:lang w:val="en-US"/>
        </w:rPr>
        <w:t>)</w:t>
      </w:r>
      <w:r w:rsidR="00A3359E">
        <w:rPr>
          <w:lang w:val="en-US"/>
        </w:rPr>
        <w:t>.</w:t>
      </w:r>
    </w:p>
    <w:p w:rsidR="00401DED" w:rsidRDefault="005C2786" w:rsidP="009E757E">
      <w:pPr>
        <w:pStyle w:val="ListParagraph"/>
        <w:numPr>
          <w:ilvl w:val="0"/>
          <w:numId w:val="1"/>
        </w:numPr>
        <w:jc w:val="both"/>
        <w:rPr>
          <w:lang w:val="en-US"/>
        </w:rPr>
      </w:pPr>
      <w:r>
        <w:rPr>
          <w:lang w:val="en-US"/>
        </w:rPr>
        <w:t xml:space="preserve">Ligate </w:t>
      </w:r>
      <w:r w:rsidR="007962AA">
        <w:rPr>
          <w:lang w:val="en-US"/>
        </w:rPr>
        <w:t xml:space="preserve">gRNA oligos </w:t>
      </w:r>
      <w:r w:rsidR="00A93AB2">
        <w:rPr>
          <w:lang w:val="en-US"/>
        </w:rPr>
        <w:t xml:space="preserve">into pMIA3 </w:t>
      </w:r>
      <w:r w:rsidR="005C0AA4">
        <w:rPr>
          <w:lang w:val="en-US"/>
        </w:rPr>
        <w:t xml:space="preserve">Cas9 plasmid </w:t>
      </w:r>
      <w:r w:rsidR="00015159">
        <w:rPr>
          <w:lang w:val="en-US"/>
        </w:rPr>
        <w:t xml:space="preserve">according to </w:t>
      </w:r>
      <w:r w:rsidR="003B4A7C">
        <w:rPr>
          <w:lang w:val="en-US"/>
        </w:rPr>
        <w:t xml:space="preserve">CRISPR </w:t>
      </w:r>
      <w:r w:rsidR="002B3DCD">
        <w:rPr>
          <w:lang w:val="en-US"/>
        </w:rPr>
        <w:t>gRNA cloning protocol</w:t>
      </w:r>
      <w:r w:rsidR="00A3359E">
        <w:rPr>
          <w:lang w:val="en-US"/>
        </w:rPr>
        <w:t>.</w:t>
      </w:r>
    </w:p>
    <w:p w:rsidR="002B3DCD" w:rsidRDefault="00DE534F" w:rsidP="009E757E">
      <w:pPr>
        <w:pStyle w:val="ListParagraph"/>
        <w:numPr>
          <w:ilvl w:val="0"/>
          <w:numId w:val="1"/>
        </w:numPr>
        <w:jc w:val="both"/>
        <w:rPr>
          <w:lang w:val="en-US"/>
        </w:rPr>
      </w:pPr>
      <w:r>
        <w:rPr>
          <w:lang w:val="en-US"/>
        </w:rPr>
        <w:t xml:space="preserve">Test </w:t>
      </w:r>
      <w:r w:rsidR="00330627">
        <w:rPr>
          <w:lang w:val="en-US"/>
        </w:rPr>
        <w:t xml:space="preserve">gRNA efficiency by transfecting </w:t>
      </w:r>
      <w:r w:rsidR="00EF26AB">
        <w:rPr>
          <w:lang w:val="en-US"/>
        </w:rPr>
        <w:t xml:space="preserve">eGxxFP-target </w:t>
      </w:r>
      <w:r w:rsidR="005C0AA4">
        <w:rPr>
          <w:lang w:val="en-US"/>
        </w:rPr>
        <w:t xml:space="preserve">plasmid </w:t>
      </w:r>
      <w:r w:rsidR="001306F0">
        <w:rPr>
          <w:lang w:val="en-US"/>
        </w:rPr>
        <w:t xml:space="preserve">with </w:t>
      </w:r>
      <w:r w:rsidR="005C0AA4">
        <w:rPr>
          <w:lang w:val="en-US"/>
        </w:rPr>
        <w:t>p</w:t>
      </w:r>
      <w:r w:rsidR="001306F0">
        <w:rPr>
          <w:lang w:val="en-US"/>
        </w:rPr>
        <w:t>MIA</w:t>
      </w:r>
      <w:r w:rsidR="00BD3DB7">
        <w:rPr>
          <w:lang w:val="en-US"/>
        </w:rPr>
        <w:t>3</w:t>
      </w:r>
      <w:r w:rsidR="005C0AA4">
        <w:rPr>
          <w:lang w:val="en-US"/>
        </w:rPr>
        <w:t xml:space="preserve"> gRNA/Cas9 plasmid </w:t>
      </w:r>
      <w:r w:rsidR="001306F0">
        <w:rPr>
          <w:lang w:val="en-US"/>
        </w:rPr>
        <w:t>into HEK293T cells</w:t>
      </w:r>
      <w:r w:rsidR="004A126D">
        <w:rPr>
          <w:lang w:val="en-US"/>
        </w:rPr>
        <w:t xml:space="preserve"> (also have single plasmid control wells)</w:t>
      </w:r>
      <w:r w:rsidR="001306F0">
        <w:rPr>
          <w:lang w:val="en-US"/>
        </w:rPr>
        <w:t xml:space="preserve">. Efficient gRNA </w:t>
      </w:r>
      <w:r w:rsidR="00881F59">
        <w:rPr>
          <w:lang w:val="en-US"/>
        </w:rPr>
        <w:t xml:space="preserve">will </w:t>
      </w:r>
      <w:r w:rsidR="00BA242D">
        <w:rPr>
          <w:lang w:val="en-US"/>
        </w:rPr>
        <w:t xml:space="preserve">result </w:t>
      </w:r>
      <w:r w:rsidR="00C331AA">
        <w:rPr>
          <w:lang w:val="en-US"/>
        </w:rPr>
        <w:t xml:space="preserve">in strong GFP signal. </w:t>
      </w:r>
      <w:r w:rsidR="004D55B8">
        <w:rPr>
          <w:lang w:val="en-US"/>
        </w:rPr>
        <w:t xml:space="preserve">Choose the best gRNA available for </w:t>
      </w:r>
      <w:r w:rsidR="0032159A">
        <w:rPr>
          <w:lang w:val="en-US"/>
        </w:rPr>
        <w:t xml:space="preserve">targeting the </w:t>
      </w:r>
      <w:r w:rsidR="001323B5">
        <w:rPr>
          <w:lang w:val="en-US"/>
        </w:rPr>
        <w:t xml:space="preserve">final </w:t>
      </w:r>
      <w:r w:rsidR="009076E0">
        <w:rPr>
          <w:lang w:val="en-US"/>
        </w:rPr>
        <w:t>experimental cells</w:t>
      </w:r>
      <w:r w:rsidR="001323B5">
        <w:rPr>
          <w:lang w:val="en-US"/>
        </w:rPr>
        <w:t>.</w:t>
      </w:r>
    </w:p>
    <w:p w:rsidR="00464EBB" w:rsidRDefault="00464EBB" w:rsidP="00464EBB">
      <w:pPr>
        <w:pStyle w:val="ListParagraph"/>
        <w:numPr>
          <w:ilvl w:val="1"/>
          <w:numId w:val="1"/>
        </w:numPr>
        <w:jc w:val="both"/>
        <w:rPr>
          <w:lang w:val="en-US"/>
        </w:rPr>
      </w:pPr>
      <w:r>
        <w:rPr>
          <w:lang w:val="en-US"/>
        </w:rPr>
        <w:t xml:space="preserve">If necessary PCR and </w:t>
      </w:r>
      <w:proofErr w:type="spellStart"/>
      <w:r>
        <w:rPr>
          <w:lang w:val="en-US"/>
        </w:rPr>
        <w:t>NEBuilder</w:t>
      </w:r>
      <w:proofErr w:type="spellEnd"/>
      <w:r>
        <w:rPr>
          <w:lang w:val="en-US"/>
        </w:rPr>
        <w:t xml:space="preserve">-ligate multiple </w:t>
      </w:r>
      <w:proofErr w:type="spellStart"/>
      <w:r>
        <w:rPr>
          <w:lang w:val="en-US"/>
        </w:rPr>
        <w:t>sgRNA</w:t>
      </w:r>
      <w:proofErr w:type="spellEnd"/>
      <w:r>
        <w:rPr>
          <w:lang w:val="en-US"/>
        </w:rPr>
        <w:t xml:space="preserve"> cassettes into one pMIA3, digested by </w:t>
      </w:r>
      <w:proofErr w:type="spellStart"/>
      <w:r>
        <w:rPr>
          <w:lang w:val="en-US"/>
        </w:rPr>
        <w:t>NheI</w:t>
      </w:r>
      <w:proofErr w:type="spellEnd"/>
      <w:r>
        <w:rPr>
          <w:lang w:val="en-US"/>
        </w:rPr>
        <w:t xml:space="preserve"> &amp; </w:t>
      </w:r>
      <w:proofErr w:type="spellStart"/>
      <w:r>
        <w:rPr>
          <w:lang w:val="en-US"/>
        </w:rPr>
        <w:t>XhoI</w:t>
      </w:r>
      <w:proofErr w:type="spellEnd"/>
      <w:r>
        <w:rPr>
          <w:lang w:val="en-US"/>
        </w:rPr>
        <w:t xml:space="preserve">. This is needed if multiple </w:t>
      </w:r>
      <w:proofErr w:type="spellStart"/>
      <w:r>
        <w:rPr>
          <w:lang w:val="en-US"/>
        </w:rPr>
        <w:t>sgRNAs</w:t>
      </w:r>
      <w:proofErr w:type="spellEnd"/>
      <w:r>
        <w:rPr>
          <w:lang w:val="en-US"/>
        </w:rPr>
        <w:t xml:space="preserve"> are used for targeting.</w:t>
      </w:r>
    </w:p>
    <w:p w:rsidR="001323B5" w:rsidRDefault="009A52E5" w:rsidP="009E757E">
      <w:pPr>
        <w:pStyle w:val="ListParagraph"/>
        <w:numPr>
          <w:ilvl w:val="0"/>
          <w:numId w:val="1"/>
        </w:numPr>
        <w:jc w:val="both"/>
        <w:rPr>
          <w:lang w:val="en-US"/>
        </w:rPr>
      </w:pPr>
      <w:r>
        <w:rPr>
          <w:lang w:val="en-US"/>
        </w:rPr>
        <w:t xml:space="preserve">Use </w:t>
      </w:r>
      <w:r w:rsidR="00332CB8">
        <w:rPr>
          <w:lang w:val="en-US"/>
        </w:rPr>
        <w:t xml:space="preserve">well maintained undifferentiated hES cells for targeting. </w:t>
      </w:r>
      <w:r w:rsidR="009B046E">
        <w:rPr>
          <w:lang w:val="en-US"/>
        </w:rPr>
        <w:t xml:space="preserve">1.5x10^6 cells needed </w:t>
      </w:r>
      <w:r w:rsidR="009F22B8">
        <w:rPr>
          <w:lang w:val="en-US"/>
        </w:rPr>
        <w:t xml:space="preserve">for every </w:t>
      </w:r>
      <w:r w:rsidR="00AD2144">
        <w:rPr>
          <w:lang w:val="en-US"/>
        </w:rPr>
        <w:t>gRNA</w:t>
      </w:r>
      <w:r w:rsidR="009F22B8" w:rsidRPr="00AD2144">
        <w:rPr>
          <w:lang w:val="en-US"/>
        </w:rPr>
        <w:t xml:space="preserve"> and control </w:t>
      </w:r>
      <w:r w:rsidR="00AD2144">
        <w:rPr>
          <w:lang w:val="en-US"/>
        </w:rPr>
        <w:t>targeting</w:t>
      </w:r>
      <w:r w:rsidR="00B556D4">
        <w:rPr>
          <w:lang w:val="en-US"/>
        </w:rPr>
        <w:t xml:space="preserve">. Pre-treat each </w:t>
      </w:r>
      <w:r w:rsidR="00416781">
        <w:rPr>
          <w:lang w:val="en-US"/>
        </w:rPr>
        <w:t xml:space="preserve">well of cells used with ROCKi for at least 1h. Also prepare </w:t>
      </w:r>
      <w:r w:rsidR="00594246">
        <w:rPr>
          <w:lang w:val="en-US"/>
        </w:rPr>
        <w:t>geltrex coated wells for each targeting.</w:t>
      </w:r>
    </w:p>
    <w:p w:rsidR="00F149E3" w:rsidRDefault="00F149E3" w:rsidP="009E757E">
      <w:pPr>
        <w:pStyle w:val="ListParagraph"/>
        <w:numPr>
          <w:ilvl w:val="0"/>
          <w:numId w:val="1"/>
        </w:numPr>
        <w:jc w:val="both"/>
        <w:rPr>
          <w:lang w:val="en-US"/>
        </w:rPr>
      </w:pPr>
      <w:r>
        <w:rPr>
          <w:lang w:val="en-US"/>
        </w:rPr>
        <w:t xml:space="preserve">Use accutase to prepare single cell suspension </w:t>
      </w:r>
      <w:r w:rsidR="002776BC">
        <w:rPr>
          <w:lang w:val="en-US"/>
        </w:rPr>
        <w:t xml:space="preserve">for targeting. Use Amaxa4D </w:t>
      </w:r>
      <w:proofErr w:type="spellStart"/>
      <w:r w:rsidR="002776BC">
        <w:rPr>
          <w:lang w:val="en-US"/>
        </w:rPr>
        <w:t>nucleofector</w:t>
      </w:r>
      <w:proofErr w:type="spellEnd"/>
      <w:r w:rsidR="00784D84">
        <w:rPr>
          <w:lang w:val="en-US"/>
        </w:rPr>
        <w:t xml:space="preserve"> and P3 </w:t>
      </w:r>
      <w:r w:rsidR="00F9133F">
        <w:rPr>
          <w:lang w:val="en-US"/>
        </w:rPr>
        <w:t xml:space="preserve">Primary Cell </w:t>
      </w:r>
      <w:r w:rsidR="00784D84">
        <w:rPr>
          <w:lang w:val="en-US"/>
        </w:rPr>
        <w:t>kit</w:t>
      </w:r>
      <w:r w:rsidR="002776BC">
        <w:rPr>
          <w:lang w:val="en-US"/>
        </w:rPr>
        <w:t xml:space="preserve"> </w:t>
      </w:r>
      <w:r w:rsidR="00F9133F">
        <w:rPr>
          <w:lang w:val="en-US"/>
        </w:rPr>
        <w:t>(</w:t>
      </w:r>
      <w:r w:rsidR="00F9133F">
        <w:t xml:space="preserve">V4XP-3024, if using 3032 kit, scale down number of cells </w:t>
      </w:r>
      <w:r w:rsidR="003322EA">
        <w:t xml:space="preserve">&amp; volumes </w:t>
      </w:r>
      <w:r w:rsidR="00F9133F">
        <w:t xml:space="preserve">accordingly) </w:t>
      </w:r>
      <w:r w:rsidR="002776BC">
        <w:rPr>
          <w:lang w:val="en-US"/>
        </w:rPr>
        <w:t>for targeting</w:t>
      </w:r>
      <w:r w:rsidR="000E0217">
        <w:rPr>
          <w:lang w:val="en-US"/>
        </w:rPr>
        <w:t>, with program CM-113</w:t>
      </w:r>
      <w:r w:rsidR="005A25D6">
        <w:rPr>
          <w:lang w:val="en-US"/>
        </w:rPr>
        <w:t>,</w:t>
      </w:r>
      <w:r w:rsidR="00B63480">
        <w:rPr>
          <w:lang w:val="en-US"/>
        </w:rPr>
        <w:t xml:space="preserve"> best for H1</w:t>
      </w:r>
      <w:r w:rsidR="00EE164F">
        <w:rPr>
          <w:lang w:val="en-US"/>
        </w:rPr>
        <w:t xml:space="preserve"> line</w:t>
      </w:r>
      <w:r w:rsidR="000E0217">
        <w:rPr>
          <w:lang w:val="en-US"/>
        </w:rPr>
        <w:t xml:space="preserve"> </w:t>
      </w:r>
      <w:r w:rsidR="00BC3A48">
        <w:rPr>
          <w:lang w:val="en-US"/>
        </w:rPr>
        <w:t>(</w:t>
      </w:r>
      <w:r w:rsidR="003322EA">
        <w:rPr>
          <w:lang w:val="en-US"/>
        </w:rPr>
        <w:t xml:space="preserve">also works with H7 and H9, </w:t>
      </w:r>
      <w:r w:rsidR="00BC3A48">
        <w:rPr>
          <w:lang w:val="en-US"/>
        </w:rPr>
        <w:t xml:space="preserve">program should be </w:t>
      </w:r>
      <w:proofErr w:type="spellStart"/>
      <w:r w:rsidR="00BC3A48">
        <w:rPr>
          <w:lang w:val="en-US"/>
        </w:rPr>
        <w:t>optimised</w:t>
      </w:r>
      <w:proofErr w:type="spellEnd"/>
      <w:r w:rsidR="00BC3A48">
        <w:rPr>
          <w:lang w:val="en-US"/>
        </w:rPr>
        <w:t xml:space="preserve"> for new </w:t>
      </w:r>
      <w:r w:rsidR="00B63480">
        <w:rPr>
          <w:lang w:val="en-US"/>
        </w:rPr>
        <w:t>hES/</w:t>
      </w:r>
      <w:proofErr w:type="spellStart"/>
      <w:r w:rsidR="00B63480">
        <w:rPr>
          <w:lang w:val="en-US"/>
        </w:rPr>
        <w:t>iPS</w:t>
      </w:r>
      <w:proofErr w:type="spellEnd"/>
      <w:r w:rsidR="00B63480">
        <w:rPr>
          <w:lang w:val="en-US"/>
        </w:rPr>
        <w:t xml:space="preserve"> lines</w:t>
      </w:r>
      <w:r w:rsidR="00EE164F">
        <w:rPr>
          <w:lang w:val="en-US"/>
        </w:rPr>
        <w:t>)</w:t>
      </w:r>
      <w:r w:rsidR="002776BC">
        <w:rPr>
          <w:lang w:val="en-US"/>
        </w:rPr>
        <w:t xml:space="preserve">. </w:t>
      </w:r>
      <w:r w:rsidR="00C0659F">
        <w:rPr>
          <w:lang w:val="en-US"/>
        </w:rPr>
        <w:t xml:space="preserve">Resuspend </w:t>
      </w:r>
      <w:r w:rsidR="005A25D6">
        <w:rPr>
          <w:lang w:val="en-US"/>
        </w:rPr>
        <w:t>1.5x10^6</w:t>
      </w:r>
      <w:r w:rsidR="00C0659F">
        <w:rPr>
          <w:lang w:val="en-US"/>
        </w:rPr>
        <w:t xml:space="preserve"> cells in 100</w:t>
      </w:r>
      <w:r w:rsidR="00856D73">
        <w:rPr>
          <w:lang w:val="en-US"/>
        </w:rPr>
        <w:t>µl</w:t>
      </w:r>
      <w:r w:rsidR="00C0659F">
        <w:rPr>
          <w:lang w:val="en-US"/>
        </w:rPr>
        <w:t xml:space="preserve"> of nucleofection solution f</w:t>
      </w:r>
      <w:r w:rsidR="002776BC">
        <w:rPr>
          <w:lang w:val="en-US"/>
        </w:rPr>
        <w:t xml:space="preserve">or each target </w:t>
      </w:r>
      <w:r w:rsidR="00C0659F">
        <w:rPr>
          <w:lang w:val="en-US"/>
        </w:rPr>
        <w:t xml:space="preserve">and </w:t>
      </w:r>
      <w:r w:rsidR="005A25D6">
        <w:rPr>
          <w:lang w:val="en-US"/>
        </w:rPr>
        <w:t>add</w:t>
      </w:r>
      <w:r w:rsidR="002776BC">
        <w:rPr>
          <w:lang w:val="en-US"/>
        </w:rPr>
        <w:t xml:space="preserve"> 10</w:t>
      </w:r>
      <w:r w:rsidR="00856D73">
        <w:rPr>
          <w:lang w:val="en-US"/>
        </w:rPr>
        <w:t>µg</w:t>
      </w:r>
      <w:r w:rsidR="002776BC">
        <w:rPr>
          <w:lang w:val="en-US"/>
        </w:rPr>
        <w:t xml:space="preserve"> of </w:t>
      </w:r>
      <w:r w:rsidR="00BD3DB7">
        <w:rPr>
          <w:lang w:val="en-US"/>
        </w:rPr>
        <w:t xml:space="preserve">Cas9 </w:t>
      </w:r>
      <w:r w:rsidR="002776BC">
        <w:rPr>
          <w:lang w:val="en-US"/>
        </w:rPr>
        <w:t xml:space="preserve">plasmid </w:t>
      </w:r>
      <w:r w:rsidR="00E27C7E">
        <w:rPr>
          <w:lang w:val="en-US"/>
        </w:rPr>
        <w:t xml:space="preserve">(max volume to add </w:t>
      </w:r>
      <w:bookmarkStart w:id="0" w:name="_GoBack"/>
      <w:bookmarkEnd w:id="0"/>
      <w:r w:rsidR="00E27C7E">
        <w:rPr>
          <w:lang w:val="en-US"/>
        </w:rPr>
        <w:t>10</w:t>
      </w:r>
      <w:r w:rsidR="00E27C7E">
        <w:rPr>
          <w:lang w:val="en-US"/>
        </w:rPr>
        <w:t>µl</w:t>
      </w:r>
      <w:r w:rsidR="00E27C7E">
        <w:rPr>
          <w:lang w:val="en-US"/>
        </w:rPr>
        <w:t>)</w:t>
      </w:r>
      <w:r w:rsidR="005A25D6">
        <w:rPr>
          <w:lang w:val="en-US"/>
        </w:rPr>
        <w:t>.</w:t>
      </w:r>
      <w:r w:rsidR="009B020C">
        <w:rPr>
          <w:lang w:val="en-US"/>
        </w:rPr>
        <w:t xml:space="preserve"> </w:t>
      </w:r>
      <w:r w:rsidR="00BD3DB7">
        <w:rPr>
          <w:lang w:val="en-US"/>
        </w:rPr>
        <w:t xml:space="preserve">Also </w:t>
      </w:r>
      <w:proofErr w:type="spellStart"/>
      <w:r w:rsidR="005A25D6">
        <w:rPr>
          <w:lang w:val="en-US"/>
        </w:rPr>
        <w:t>nucleofect</w:t>
      </w:r>
      <w:proofErr w:type="spellEnd"/>
      <w:r w:rsidR="00BD3DB7">
        <w:rPr>
          <w:lang w:val="en-US"/>
        </w:rPr>
        <w:t xml:space="preserve"> control cells with </w:t>
      </w:r>
      <w:r w:rsidR="00BD3DB7" w:rsidRPr="00BD3DB7">
        <w:rPr>
          <w:lang w:val="en-US"/>
        </w:rPr>
        <w:t>pCE-mp53DD</w:t>
      </w:r>
      <w:r w:rsidR="00BD3DB7">
        <w:rPr>
          <w:lang w:val="en-US"/>
        </w:rPr>
        <w:t xml:space="preserve"> plasmid (</w:t>
      </w:r>
      <w:r w:rsidR="00A3359E">
        <w:rPr>
          <w:lang w:val="en-US"/>
        </w:rPr>
        <w:t>Addgene</w:t>
      </w:r>
      <w:r w:rsidR="00BD3DB7">
        <w:rPr>
          <w:lang w:val="en-US"/>
        </w:rPr>
        <w:t xml:space="preserve"> #41856, control for tp53dn function of pMIA3). </w:t>
      </w:r>
      <w:r w:rsidR="00EE164F">
        <w:rPr>
          <w:lang w:val="en-US"/>
        </w:rPr>
        <w:t xml:space="preserve">After targeting wait for 2 min </w:t>
      </w:r>
      <w:r w:rsidR="00C079FB">
        <w:rPr>
          <w:lang w:val="en-US"/>
        </w:rPr>
        <w:t xml:space="preserve">before </w:t>
      </w:r>
      <w:r w:rsidR="00F161B2">
        <w:rPr>
          <w:lang w:val="en-US"/>
        </w:rPr>
        <w:t>adding culture media. Use mTeSR with CloneR supplement to plate out the cells.</w:t>
      </w:r>
    </w:p>
    <w:p w:rsidR="00165DB6" w:rsidRDefault="005F3CD2" w:rsidP="009E757E">
      <w:pPr>
        <w:pStyle w:val="ListParagraph"/>
        <w:numPr>
          <w:ilvl w:val="0"/>
          <w:numId w:val="1"/>
        </w:numPr>
        <w:jc w:val="both"/>
        <w:rPr>
          <w:lang w:val="en-US"/>
        </w:rPr>
      </w:pPr>
      <w:r>
        <w:rPr>
          <w:lang w:val="en-US"/>
        </w:rPr>
        <w:t xml:space="preserve">Change media after 24h </w:t>
      </w:r>
      <w:r w:rsidR="00AF1763">
        <w:rPr>
          <w:lang w:val="en-US"/>
        </w:rPr>
        <w:t xml:space="preserve">with mTeSR </w:t>
      </w:r>
      <w:r w:rsidR="00F16A95">
        <w:rPr>
          <w:lang w:val="en-US"/>
        </w:rPr>
        <w:t xml:space="preserve">and recover for another </w:t>
      </w:r>
      <w:r w:rsidR="00D125AE">
        <w:rPr>
          <w:lang w:val="en-US"/>
        </w:rPr>
        <w:t>24h.</w:t>
      </w:r>
    </w:p>
    <w:p w:rsidR="00BD3DB7" w:rsidRDefault="00BD3DB7" w:rsidP="009E757E">
      <w:pPr>
        <w:pStyle w:val="ListParagraph"/>
        <w:numPr>
          <w:ilvl w:val="0"/>
          <w:numId w:val="1"/>
        </w:numPr>
        <w:jc w:val="both"/>
        <w:rPr>
          <w:lang w:val="en-US"/>
        </w:rPr>
      </w:pPr>
      <w:r>
        <w:rPr>
          <w:lang w:val="en-US"/>
        </w:rPr>
        <w:t>Use FACS to enrich for targeted cells.</w:t>
      </w:r>
    </w:p>
    <w:p w:rsidR="00BD3DB7" w:rsidRDefault="00BD3DB7" w:rsidP="009E757E">
      <w:pPr>
        <w:pStyle w:val="ListParagraph"/>
        <w:numPr>
          <w:ilvl w:val="1"/>
          <w:numId w:val="1"/>
        </w:numPr>
        <w:jc w:val="both"/>
        <w:rPr>
          <w:lang w:val="en-US"/>
        </w:rPr>
      </w:pPr>
      <w:r>
        <w:rPr>
          <w:lang w:val="en-US"/>
        </w:rPr>
        <w:t>Pre-treat the cells with ROCKi as for nucleofection and prepare appropriate number of geltrex wells</w:t>
      </w:r>
      <w:r w:rsidR="00A3359E">
        <w:rPr>
          <w:lang w:val="en-US"/>
        </w:rPr>
        <w:t>.</w:t>
      </w:r>
    </w:p>
    <w:p w:rsidR="00BD3DB7" w:rsidRDefault="00BD3DB7" w:rsidP="009E757E">
      <w:pPr>
        <w:pStyle w:val="ListParagraph"/>
        <w:numPr>
          <w:ilvl w:val="1"/>
          <w:numId w:val="1"/>
        </w:numPr>
        <w:jc w:val="both"/>
        <w:rPr>
          <w:lang w:val="en-US"/>
        </w:rPr>
      </w:pPr>
      <w:r>
        <w:rPr>
          <w:lang w:val="en-US"/>
        </w:rPr>
        <w:t>Use accutase to prepare single cell suspension of the whole targeted well</w:t>
      </w:r>
      <w:r w:rsidR="00A3359E">
        <w:rPr>
          <w:lang w:val="en-US"/>
        </w:rPr>
        <w:t>.</w:t>
      </w:r>
    </w:p>
    <w:p w:rsidR="00BD3DB7" w:rsidRDefault="00BD3DB7" w:rsidP="009E757E">
      <w:pPr>
        <w:pStyle w:val="ListParagraph"/>
        <w:numPr>
          <w:ilvl w:val="1"/>
          <w:numId w:val="1"/>
        </w:numPr>
        <w:jc w:val="both"/>
        <w:rPr>
          <w:lang w:val="en-US"/>
        </w:rPr>
      </w:pPr>
      <w:r w:rsidRPr="00BD3DB7">
        <w:rPr>
          <w:lang w:val="en-US"/>
        </w:rPr>
        <w:t xml:space="preserve">Spin down, resuspend in PBS and </w:t>
      </w:r>
      <w:r>
        <w:rPr>
          <w:lang w:val="en-US"/>
        </w:rPr>
        <w:t>f</w:t>
      </w:r>
      <w:r w:rsidRPr="00BD3DB7">
        <w:rPr>
          <w:lang w:val="en-US"/>
        </w:rPr>
        <w:t>ilter the cells</w:t>
      </w:r>
      <w:r w:rsidR="00A3359E">
        <w:rPr>
          <w:lang w:val="en-US"/>
        </w:rPr>
        <w:t>.</w:t>
      </w:r>
    </w:p>
    <w:p w:rsidR="00BD3DB7" w:rsidRDefault="00BD3DB7" w:rsidP="009E757E">
      <w:pPr>
        <w:pStyle w:val="ListParagraph"/>
        <w:numPr>
          <w:ilvl w:val="0"/>
          <w:numId w:val="1"/>
        </w:numPr>
        <w:jc w:val="both"/>
        <w:rPr>
          <w:lang w:val="en-US"/>
        </w:rPr>
      </w:pPr>
      <w:r>
        <w:rPr>
          <w:lang w:val="en-US"/>
        </w:rPr>
        <w:t>Sort out 10 000 RFP+ cells into an Eppendorf containing mTeSR with P/S and Gentamicin, for each targeting. Also sort out 10 000 of the tp53 targeted control cells.</w:t>
      </w:r>
    </w:p>
    <w:p w:rsidR="00AE09C1" w:rsidRPr="00AE09C1" w:rsidRDefault="00AE09C1" w:rsidP="009E757E">
      <w:pPr>
        <w:pStyle w:val="ListParagraph"/>
        <w:numPr>
          <w:ilvl w:val="1"/>
          <w:numId w:val="1"/>
        </w:numPr>
        <w:jc w:val="both"/>
        <w:rPr>
          <w:lang w:val="en-US"/>
        </w:rPr>
      </w:pPr>
      <w:r>
        <w:rPr>
          <w:lang w:val="en-US"/>
        </w:rPr>
        <w:t xml:space="preserve">Keep leftover cells and extract gDNA, can be used to check for gRNA targeting efficiency, either with PCR (for larger deletions, </w:t>
      </w:r>
      <w:r w:rsidR="00F87185">
        <w:rPr>
          <w:lang w:val="en-US"/>
        </w:rPr>
        <w:t xml:space="preserve">you </w:t>
      </w:r>
      <w:r>
        <w:rPr>
          <w:lang w:val="en-US"/>
        </w:rPr>
        <w:t xml:space="preserve">can often use primers </w:t>
      </w:r>
      <w:r w:rsidR="00A3359E">
        <w:rPr>
          <w:lang w:val="en-US"/>
        </w:rPr>
        <w:t>amplifying</w:t>
      </w:r>
      <w:r>
        <w:rPr>
          <w:lang w:val="en-US"/>
        </w:rPr>
        <w:t xml:space="preserve"> target region for eGxxFP test) or Surveyor/T7 for frameshifts</w:t>
      </w:r>
      <w:r w:rsidR="00A3359E">
        <w:rPr>
          <w:lang w:val="en-US"/>
        </w:rPr>
        <w:t>.</w:t>
      </w:r>
      <w:r w:rsidR="00B44DD6">
        <w:rPr>
          <w:lang w:val="en-US"/>
        </w:rPr>
        <w:t xml:space="preserve"> If no evidence of </w:t>
      </w:r>
      <w:r w:rsidR="00B44DD6">
        <w:rPr>
          <w:lang w:val="en-US"/>
        </w:rPr>
        <w:lastRenderedPageBreak/>
        <w:t>targeting from the extra gDNA, most likely not worth growing out and screening the clones.</w:t>
      </w:r>
    </w:p>
    <w:p w:rsidR="00BD3DB7" w:rsidRDefault="00BD3DB7" w:rsidP="009E757E">
      <w:pPr>
        <w:pStyle w:val="ListParagraph"/>
        <w:numPr>
          <w:ilvl w:val="0"/>
          <w:numId w:val="1"/>
        </w:numPr>
        <w:jc w:val="both"/>
        <w:rPr>
          <w:lang w:val="en-US"/>
        </w:rPr>
      </w:pPr>
      <w:r>
        <w:rPr>
          <w:lang w:val="en-US"/>
        </w:rPr>
        <w:t>Plate out several wells of the sorted cells on 6-well plates with different number of cells (100-1000 cells per well) using mTeSR supplemented with CloneR, P/S and Gentamicin</w:t>
      </w:r>
      <w:r w:rsidR="00A3359E">
        <w:rPr>
          <w:lang w:val="en-US"/>
        </w:rPr>
        <w:t>.</w:t>
      </w:r>
    </w:p>
    <w:p w:rsidR="00BD3DB7" w:rsidRDefault="00F87185" w:rsidP="009E757E">
      <w:pPr>
        <w:pStyle w:val="ListParagraph"/>
        <w:numPr>
          <w:ilvl w:val="0"/>
          <w:numId w:val="1"/>
        </w:numPr>
        <w:jc w:val="both"/>
        <w:rPr>
          <w:lang w:val="en-US"/>
        </w:rPr>
      </w:pPr>
      <w:r>
        <w:rPr>
          <w:lang w:val="en-US"/>
        </w:rPr>
        <w:t>After 48</w:t>
      </w:r>
      <w:r w:rsidR="00BD3DB7">
        <w:rPr>
          <w:lang w:val="en-US"/>
        </w:rPr>
        <w:t>h change media on wells with mTeSR + CloneR</w:t>
      </w:r>
      <w:r w:rsidR="00A3359E">
        <w:rPr>
          <w:lang w:val="en-US"/>
        </w:rPr>
        <w:t>.</w:t>
      </w:r>
    </w:p>
    <w:p w:rsidR="00BD3DB7" w:rsidRDefault="00BD3DB7" w:rsidP="009E757E">
      <w:pPr>
        <w:pStyle w:val="ListParagraph"/>
        <w:numPr>
          <w:ilvl w:val="0"/>
          <w:numId w:val="1"/>
        </w:numPr>
        <w:jc w:val="both"/>
        <w:rPr>
          <w:lang w:val="en-US"/>
        </w:rPr>
      </w:pPr>
      <w:r>
        <w:rPr>
          <w:lang w:val="en-US"/>
        </w:rPr>
        <w:t>After 48h change media to normal mTeSR</w:t>
      </w:r>
      <w:r w:rsidR="00A3359E">
        <w:rPr>
          <w:lang w:val="en-US"/>
        </w:rPr>
        <w:t>.</w:t>
      </w:r>
    </w:p>
    <w:p w:rsidR="00AE09C1" w:rsidRDefault="00BD3DB7" w:rsidP="009E757E">
      <w:pPr>
        <w:pStyle w:val="ListParagraph"/>
        <w:numPr>
          <w:ilvl w:val="0"/>
          <w:numId w:val="1"/>
        </w:numPr>
        <w:jc w:val="both"/>
        <w:rPr>
          <w:lang w:val="en-US"/>
        </w:rPr>
      </w:pPr>
      <w:r>
        <w:rPr>
          <w:lang w:val="en-US"/>
        </w:rPr>
        <w:t>Wait for colonies to grow, approx. 14 days and manually pick</w:t>
      </w:r>
      <w:r w:rsidR="00AE09C1">
        <w:rPr>
          <w:lang w:val="en-US"/>
        </w:rPr>
        <w:t xml:space="preserve"> single colonies into 1/12 well</w:t>
      </w:r>
      <w:r w:rsidR="00A3359E">
        <w:rPr>
          <w:lang w:val="en-US"/>
        </w:rPr>
        <w:t>.</w:t>
      </w:r>
    </w:p>
    <w:p w:rsidR="00AE09C1" w:rsidRDefault="00AE09C1" w:rsidP="009E757E">
      <w:pPr>
        <w:pStyle w:val="ListParagraph"/>
        <w:numPr>
          <w:ilvl w:val="0"/>
          <w:numId w:val="1"/>
        </w:numPr>
        <w:jc w:val="both"/>
        <w:rPr>
          <w:lang w:val="en-US"/>
        </w:rPr>
      </w:pPr>
      <w:r>
        <w:rPr>
          <w:lang w:val="en-US"/>
        </w:rPr>
        <w:t>Amplify colonies and split with RelesR 1:1 in 12-wells</w:t>
      </w:r>
      <w:r w:rsidR="00A3359E">
        <w:rPr>
          <w:lang w:val="en-US"/>
        </w:rPr>
        <w:t>.</w:t>
      </w:r>
    </w:p>
    <w:p w:rsidR="00AE09C1" w:rsidRDefault="00AE09C1" w:rsidP="009E757E">
      <w:pPr>
        <w:pStyle w:val="ListParagraph"/>
        <w:numPr>
          <w:ilvl w:val="0"/>
          <w:numId w:val="1"/>
        </w:numPr>
        <w:jc w:val="both"/>
        <w:rPr>
          <w:lang w:val="en-US"/>
        </w:rPr>
      </w:pPr>
      <w:r>
        <w:rPr>
          <w:lang w:val="en-US"/>
        </w:rPr>
        <w:t>Once clones have grown enough, split again with RelesR</w:t>
      </w:r>
      <w:r w:rsidR="00A3359E">
        <w:rPr>
          <w:lang w:val="en-US"/>
        </w:rPr>
        <w:t>.</w:t>
      </w:r>
    </w:p>
    <w:p w:rsidR="00AE09C1" w:rsidRDefault="00AE09C1" w:rsidP="009E757E">
      <w:pPr>
        <w:pStyle w:val="ListParagraph"/>
        <w:numPr>
          <w:ilvl w:val="1"/>
          <w:numId w:val="1"/>
        </w:numPr>
        <w:jc w:val="both"/>
        <w:rPr>
          <w:lang w:val="en-US"/>
        </w:rPr>
      </w:pPr>
      <w:r>
        <w:rPr>
          <w:lang w:val="en-US"/>
        </w:rPr>
        <w:t xml:space="preserve">Plate out </w:t>
      </w:r>
      <w:r w:rsidR="00F87185">
        <w:rPr>
          <w:lang w:val="en-US"/>
        </w:rPr>
        <w:t xml:space="preserve">between </w:t>
      </w:r>
      <w:r>
        <w:rPr>
          <w:lang w:val="en-US"/>
        </w:rPr>
        <w:t>1:10 to 1:20 into a new 12-well</w:t>
      </w:r>
      <w:r w:rsidR="00A3359E">
        <w:rPr>
          <w:lang w:val="en-US"/>
        </w:rPr>
        <w:t>.</w:t>
      </w:r>
    </w:p>
    <w:p w:rsidR="00AE09C1" w:rsidRDefault="00AE09C1" w:rsidP="009E757E">
      <w:pPr>
        <w:pStyle w:val="ListParagraph"/>
        <w:numPr>
          <w:ilvl w:val="1"/>
          <w:numId w:val="1"/>
        </w:numPr>
        <w:jc w:val="both"/>
        <w:rPr>
          <w:lang w:val="en-US"/>
        </w:rPr>
      </w:pPr>
      <w:r>
        <w:rPr>
          <w:lang w:val="en-US"/>
        </w:rPr>
        <w:t>Use rema</w:t>
      </w:r>
      <w:r w:rsidR="00A3359E">
        <w:rPr>
          <w:lang w:val="en-US"/>
        </w:rPr>
        <w:t>ining cells for gDNA extraction.</w:t>
      </w:r>
    </w:p>
    <w:p w:rsidR="00F87185" w:rsidRDefault="00AE09C1" w:rsidP="009E757E">
      <w:pPr>
        <w:pStyle w:val="ListParagraph"/>
        <w:numPr>
          <w:ilvl w:val="0"/>
          <w:numId w:val="1"/>
        </w:numPr>
        <w:jc w:val="both"/>
        <w:rPr>
          <w:lang w:val="en-US"/>
        </w:rPr>
      </w:pPr>
      <w:r>
        <w:rPr>
          <w:lang w:val="en-US"/>
        </w:rPr>
        <w:t>S</w:t>
      </w:r>
      <w:r w:rsidRPr="00AE09C1">
        <w:rPr>
          <w:lang w:val="en-US"/>
        </w:rPr>
        <w:t>creen</w:t>
      </w:r>
      <w:r>
        <w:rPr>
          <w:lang w:val="en-US"/>
        </w:rPr>
        <w:t xml:space="preserve"> clones for successful</w:t>
      </w:r>
      <w:r w:rsidRPr="00AE09C1">
        <w:rPr>
          <w:lang w:val="en-US"/>
        </w:rPr>
        <w:t xml:space="preserve"> CRISPR targeting</w:t>
      </w:r>
      <w:r>
        <w:rPr>
          <w:lang w:val="en-US"/>
        </w:rPr>
        <w:t xml:space="preserve"> with PCR and sequencing</w:t>
      </w:r>
      <w:r w:rsidR="00A3359E">
        <w:rPr>
          <w:lang w:val="en-US"/>
        </w:rPr>
        <w:t>.</w:t>
      </w:r>
    </w:p>
    <w:p w:rsidR="00D125AE" w:rsidRPr="00AE09C1" w:rsidRDefault="00F87185" w:rsidP="009E757E">
      <w:pPr>
        <w:pStyle w:val="ListParagraph"/>
        <w:numPr>
          <w:ilvl w:val="0"/>
          <w:numId w:val="1"/>
        </w:numPr>
        <w:jc w:val="both"/>
        <w:rPr>
          <w:lang w:val="en-US"/>
        </w:rPr>
      </w:pPr>
      <w:r>
        <w:rPr>
          <w:lang w:val="en-US"/>
        </w:rPr>
        <w:t xml:space="preserve">Expand &amp; freeze down stocks of correctly targeted clones for </w:t>
      </w:r>
      <w:r w:rsidR="00B44DD6">
        <w:rPr>
          <w:lang w:val="en-US"/>
        </w:rPr>
        <w:t>downstream</w:t>
      </w:r>
      <w:r>
        <w:rPr>
          <w:lang w:val="en-US"/>
        </w:rPr>
        <w:t xml:space="preserve"> experiments.</w:t>
      </w:r>
    </w:p>
    <w:p w:rsidR="005C0AA4" w:rsidRDefault="005C0AA4" w:rsidP="009E757E">
      <w:pPr>
        <w:pStyle w:val="Heading2"/>
        <w:jc w:val="both"/>
        <w:rPr>
          <w:lang w:val="en-US"/>
        </w:rPr>
      </w:pPr>
      <w:r>
        <w:rPr>
          <w:lang w:val="en-US"/>
        </w:rPr>
        <w:t>HDR edited cells</w:t>
      </w:r>
    </w:p>
    <w:p w:rsidR="005C0AA4" w:rsidRDefault="005C0AA4" w:rsidP="009E757E">
      <w:pPr>
        <w:pStyle w:val="ListParagraph"/>
        <w:numPr>
          <w:ilvl w:val="0"/>
          <w:numId w:val="2"/>
        </w:numPr>
        <w:jc w:val="both"/>
        <w:rPr>
          <w:lang w:val="en-US"/>
        </w:rPr>
      </w:pPr>
      <w:r>
        <w:rPr>
          <w:lang w:val="en-US"/>
        </w:rPr>
        <w:t>Design gRNAs using Benchling</w:t>
      </w:r>
      <w:r w:rsidR="00A3359E">
        <w:rPr>
          <w:lang w:val="en-US"/>
        </w:rPr>
        <w:t>.</w:t>
      </w:r>
    </w:p>
    <w:p w:rsidR="005C0AA4" w:rsidRDefault="005C0AA4" w:rsidP="009E757E">
      <w:pPr>
        <w:pStyle w:val="ListParagraph"/>
        <w:numPr>
          <w:ilvl w:val="1"/>
          <w:numId w:val="2"/>
        </w:numPr>
        <w:jc w:val="both"/>
        <w:rPr>
          <w:lang w:val="en-US"/>
        </w:rPr>
      </w:pPr>
      <w:r>
        <w:rPr>
          <w:lang w:val="en-US"/>
        </w:rPr>
        <w:t>Consider targeting strategy</w:t>
      </w:r>
      <w:r w:rsidR="00A3359E">
        <w:rPr>
          <w:lang w:val="en-US"/>
        </w:rPr>
        <w:t>.</w:t>
      </w:r>
    </w:p>
    <w:p w:rsidR="005C0AA4" w:rsidRDefault="005C0AA4" w:rsidP="009E757E">
      <w:pPr>
        <w:pStyle w:val="ListParagraph"/>
        <w:numPr>
          <w:ilvl w:val="2"/>
          <w:numId w:val="2"/>
        </w:numPr>
        <w:jc w:val="both"/>
        <w:rPr>
          <w:lang w:val="en-US"/>
        </w:rPr>
      </w:pPr>
      <w:r>
        <w:rPr>
          <w:lang w:val="en-US"/>
        </w:rPr>
        <w:t>For 2A reporter lines gRNA needs to overlap STOP codon of GOI, or alternatively 2 gRNAs either side of STOP codon can be used with nickase Cas9</w:t>
      </w:r>
      <w:r w:rsidR="00A3359E">
        <w:rPr>
          <w:lang w:val="en-US"/>
        </w:rPr>
        <w:t>.</w:t>
      </w:r>
    </w:p>
    <w:p w:rsidR="005C0AA4" w:rsidRDefault="005C0AA4" w:rsidP="009E757E">
      <w:pPr>
        <w:pStyle w:val="ListParagraph"/>
        <w:numPr>
          <w:ilvl w:val="2"/>
          <w:numId w:val="2"/>
        </w:numPr>
        <w:jc w:val="both"/>
        <w:rPr>
          <w:lang w:val="en-US"/>
        </w:rPr>
      </w:pPr>
      <w:r>
        <w:rPr>
          <w:lang w:val="en-US"/>
        </w:rPr>
        <w:t xml:space="preserve">For SNP changes using piggyBac donor a </w:t>
      </w:r>
      <w:r>
        <w:rPr>
          <w:i/>
          <w:lang w:val="en-US"/>
        </w:rPr>
        <w:t>TTAA</w:t>
      </w:r>
      <w:r>
        <w:rPr>
          <w:lang w:val="en-US"/>
        </w:rPr>
        <w:t xml:space="preserve"> as close as possible to the SNP of interest should be targeted. Same rules apply to gRNAs as with 2A reporter and STOP codon</w:t>
      </w:r>
      <w:r w:rsidR="00A3359E">
        <w:rPr>
          <w:lang w:val="en-US"/>
        </w:rPr>
        <w:t>.</w:t>
      </w:r>
    </w:p>
    <w:p w:rsidR="005C0AA4" w:rsidRDefault="005C0AA4" w:rsidP="009E757E">
      <w:pPr>
        <w:pStyle w:val="ListParagraph"/>
        <w:numPr>
          <w:ilvl w:val="2"/>
          <w:numId w:val="2"/>
        </w:numPr>
        <w:jc w:val="both"/>
        <w:rPr>
          <w:lang w:val="en-US"/>
        </w:rPr>
      </w:pPr>
      <w:r w:rsidRPr="005C0AA4">
        <w:rPr>
          <w:lang w:val="en-US"/>
        </w:rPr>
        <w:t>Other targetings, choose best gRNA available in the region of interest</w:t>
      </w:r>
      <w:r w:rsidR="00A3359E">
        <w:rPr>
          <w:lang w:val="en-US"/>
        </w:rPr>
        <w:t>.</w:t>
      </w:r>
    </w:p>
    <w:p w:rsidR="005C0AA4" w:rsidRDefault="005C0AA4" w:rsidP="009E757E">
      <w:pPr>
        <w:pStyle w:val="ListParagraph"/>
        <w:numPr>
          <w:ilvl w:val="0"/>
          <w:numId w:val="2"/>
        </w:numPr>
        <w:jc w:val="both"/>
        <w:rPr>
          <w:lang w:val="en-US"/>
        </w:rPr>
      </w:pPr>
      <w:r>
        <w:rPr>
          <w:lang w:val="en-US"/>
        </w:rPr>
        <w:t xml:space="preserve">Prepare donor plasmid with appropriate homology arms </w:t>
      </w:r>
      <w:r w:rsidR="00AB01DF">
        <w:rPr>
          <w:lang w:val="en-US"/>
        </w:rPr>
        <w:t xml:space="preserve">(500-2000bp) </w:t>
      </w:r>
      <w:r>
        <w:rPr>
          <w:lang w:val="en-US"/>
        </w:rPr>
        <w:t>for your targeting needs</w:t>
      </w:r>
      <w:r w:rsidR="00000845">
        <w:rPr>
          <w:lang w:val="en-US"/>
        </w:rPr>
        <w:t xml:space="preserve"> (e.g. homology to either side of STOP codon or to </w:t>
      </w:r>
      <w:r w:rsidR="00000845">
        <w:rPr>
          <w:i/>
          <w:lang w:val="en-US"/>
        </w:rPr>
        <w:t>TTAA</w:t>
      </w:r>
      <w:r w:rsidR="00000845">
        <w:rPr>
          <w:lang w:val="en-US"/>
        </w:rPr>
        <w:t>)</w:t>
      </w:r>
      <w:r w:rsidR="00A3359E">
        <w:rPr>
          <w:lang w:val="en-US"/>
        </w:rPr>
        <w:t>.</w:t>
      </w:r>
    </w:p>
    <w:p w:rsidR="005C0AA4" w:rsidRDefault="005C0AA4" w:rsidP="009E757E">
      <w:pPr>
        <w:pStyle w:val="ListParagraph"/>
        <w:numPr>
          <w:ilvl w:val="0"/>
          <w:numId w:val="2"/>
        </w:numPr>
        <w:jc w:val="both"/>
        <w:rPr>
          <w:lang w:val="en-US"/>
        </w:rPr>
      </w:pPr>
      <w:r>
        <w:rPr>
          <w:lang w:val="en-US"/>
        </w:rPr>
        <w:t xml:space="preserve">Follow steps 1b. to 7. </w:t>
      </w:r>
      <w:proofErr w:type="gramStart"/>
      <w:r>
        <w:rPr>
          <w:lang w:val="en-US"/>
        </w:rPr>
        <w:t>as</w:t>
      </w:r>
      <w:proofErr w:type="gramEnd"/>
      <w:r>
        <w:rPr>
          <w:lang w:val="en-US"/>
        </w:rPr>
        <w:t xml:space="preserve"> described above for KO cells, except that 5</w:t>
      </w:r>
      <w:r w:rsidR="00856D73">
        <w:rPr>
          <w:lang w:val="en-US"/>
        </w:rPr>
        <w:t>µg</w:t>
      </w:r>
      <w:r>
        <w:rPr>
          <w:lang w:val="en-US"/>
        </w:rPr>
        <w:t xml:space="preserve"> of Cas9 plasmid and 5</w:t>
      </w:r>
      <w:r w:rsidR="00856D73">
        <w:rPr>
          <w:lang w:val="en-US"/>
        </w:rPr>
        <w:t>µg</w:t>
      </w:r>
      <w:r>
        <w:rPr>
          <w:lang w:val="en-US"/>
        </w:rPr>
        <w:t xml:space="preserve"> of donor plasmid should be used together</w:t>
      </w:r>
      <w:r w:rsidR="002E5C84">
        <w:rPr>
          <w:lang w:val="en-US"/>
        </w:rPr>
        <w:t xml:space="preserve"> in the targeting</w:t>
      </w:r>
      <w:r>
        <w:rPr>
          <w:lang w:val="en-US"/>
        </w:rPr>
        <w:t>.</w:t>
      </w:r>
    </w:p>
    <w:p w:rsidR="00AE09C1" w:rsidRDefault="002E5C84" w:rsidP="009E757E">
      <w:pPr>
        <w:pStyle w:val="ListParagraph"/>
        <w:numPr>
          <w:ilvl w:val="0"/>
          <w:numId w:val="2"/>
        </w:numPr>
        <w:jc w:val="both"/>
        <w:rPr>
          <w:lang w:val="en-US"/>
        </w:rPr>
      </w:pPr>
      <w:r>
        <w:rPr>
          <w:lang w:val="en-US"/>
        </w:rPr>
        <w:t>After 48h (or longer if cells have not recovered properly), apply selection agent to the targeted and control wells, such as puromycin or blasticidin depending on the donor used</w:t>
      </w:r>
      <w:r w:rsidR="00A3359E">
        <w:rPr>
          <w:lang w:val="en-US"/>
        </w:rPr>
        <w:t>.</w:t>
      </w:r>
    </w:p>
    <w:p w:rsidR="005C0AA4" w:rsidRDefault="00AE09C1" w:rsidP="009E757E">
      <w:pPr>
        <w:pStyle w:val="ListParagraph"/>
        <w:numPr>
          <w:ilvl w:val="0"/>
          <w:numId w:val="2"/>
        </w:numPr>
        <w:jc w:val="both"/>
        <w:rPr>
          <w:lang w:val="en-US"/>
        </w:rPr>
      </w:pPr>
      <w:r>
        <w:rPr>
          <w:lang w:val="en-US"/>
        </w:rPr>
        <w:t xml:space="preserve">Once all cells in the control wells have died and healthy colonies are growing on targeted wells </w:t>
      </w:r>
      <w:r w:rsidR="009E757E">
        <w:rPr>
          <w:lang w:val="en-US"/>
        </w:rPr>
        <w:t xml:space="preserve">manually pick single colonies into 1/12 well and </w:t>
      </w:r>
      <w:r>
        <w:rPr>
          <w:lang w:val="en-US"/>
        </w:rPr>
        <w:t>follow steps 1</w:t>
      </w:r>
      <w:r w:rsidR="009E757E">
        <w:rPr>
          <w:lang w:val="en-US"/>
        </w:rPr>
        <w:t>4</w:t>
      </w:r>
      <w:r>
        <w:rPr>
          <w:lang w:val="en-US"/>
        </w:rPr>
        <w:t xml:space="preserve">. </w:t>
      </w:r>
      <w:proofErr w:type="gramStart"/>
      <w:r w:rsidR="005A25D6">
        <w:rPr>
          <w:lang w:val="en-US"/>
        </w:rPr>
        <w:t>t</w:t>
      </w:r>
      <w:r>
        <w:rPr>
          <w:lang w:val="en-US"/>
        </w:rPr>
        <w:t>o</w:t>
      </w:r>
      <w:proofErr w:type="gramEnd"/>
      <w:r>
        <w:rPr>
          <w:lang w:val="en-US"/>
        </w:rPr>
        <w:t xml:space="preserve"> 1</w:t>
      </w:r>
      <w:r w:rsidR="00F87185">
        <w:rPr>
          <w:lang w:val="en-US"/>
        </w:rPr>
        <w:t>7</w:t>
      </w:r>
      <w:r>
        <w:rPr>
          <w:lang w:val="en-US"/>
        </w:rPr>
        <w:t xml:space="preserve">. </w:t>
      </w:r>
      <w:proofErr w:type="gramStart"/>
      <w:r>
        <w:rPr>
          <w:lang w:val="en-US"/>
        </w:rPr>
        <w:t>as</w:t>
      </w:r>
      <w:proofErr w:type="gramEnd"/>
      <w:r>
        <w:rPr>
          <w:lang w:val="en-US"/>
        </w:rPr>
        <w:t xml:space="preserve"> </w:t>
      </w:r>
      <w:r w:rsidR="009E757E">
        <w:rPr>
          <w:lang w:val="en-US"/>
        </w:rPr>
        <w:t>above</w:t>
      </w:r>
      <w:r w:rsidR="00A3359E">
        <w:rPr>
          <w:lang w:val="en-US"/>
        </w:rPr>
        <w:t>.</w:t>
      </w:r>
    </w:p>
    <w:p w:rsidR="0056036F" w:rsidRDefault="00454D42" w:rsidP="009E757E">
      <w:pPr>
        <w:pStyle w:val="Heading2"/>
        <w:jc w:val="both"/>
        <w:rPr>
          <w:lang w:val="en-US"/>
        </w:rPr>
      </w:pPr>
      <w:r>
        <w:rPr>
          <w:lang w:val="en-US"/>
        </w:rPr>
        <w:t>Note on off-targets</w:t>
      </w:r>
    </w:p>
    <w:p w:rsidR="00DE1B5C" w:rsidRDefault="00454D42" w:rsidP="009E757E">
      <w:pPr>
        <w:jc w:val="both"/>
        <w:rPr>
          <w:lang w:val="en-US"/>
        </w:rPr>
      </w:pPr>
      <w:proofErr w:type="gramStart"/>
      <w:r>
        <w:rPr>
          <w:lang w:val="en-US"/>
        </w:rPr>
        <w:t>pMIA3</w:t>
      </w:r>
      <w:proofErr w:type="gramEnd"/>
      <w:r>
        <w:rPr>
          <w:lang w:val="en-US"/>
        </w:rPr>
        <w:t xml:space="preserve"> plasmid uses the eSpCas9 mutant, described in </w:t>
      </w:r>
      <w:proofErr w:type="spellStart"/>
      <w:r>
        <w:rPr>
          <w:lang w:val="en-US"/>
        </w:rPr>
        <w:t>Slaymaker</w:t>
      </w:r>
      <w:proofErr w:type="spellEnd"/>
      <w:r>
        <w:rPr>
          <w:lang w:val="en-US"/>
        </w:rPr>
        <w:t xml:space="preserve"> </w:t>
      </w:r>
      <w:r>
        <w:rPr>
          <w:i/>
          <w:lang w:val="en-US"/>
        </w:rPr>
        <w:t>et. al.</w:t>
      </w:r>
      <w:r>
        <w:rPr>
          <w:lang w:val="en-US"/>
        </w:rPr>
        <w:t xml:space="preserve"> 2016. This has been shown to drastically reduce off target effects, but it also reduces on target efficiency. </w:t>
      </w:r>
      <w:r w:rsidR="0018602E">
        <w:rPr>
          <w:lang w:val="en-US"/>
        </w:rPr>
        <w:t>Nickase eSpCas9 can be used to further reduce off-targets, but efficiency is reduced even more. Please note that</w:t>
      </w:r>
      <w:r>
        <w:rPr>
          <w:lang w:val="en-US"/>
        </w:rPr>
        <w:t xml:space="preserve"> </w:t>
      </w:r>
      <w:r w:rsidRPr="0018602E">
        <w:rPr>
          <w:b/>
          <w:lang w:val="en-US"/>
        </w:rPr>
        <w:t>only gRNAs with a native 5’ G work well with eSpCas9</w:t>
      </w:r>
      <w:r w:rsidR="0018602E">
        <w:rPr>
          <w:lang w:val="en-US"/>
        </w:rPr>
        <w:t xml:space="preserve"> (G at the start is required by U6 promoter)</w:t>
      </w:r>
      <w:r>
        <w:rPr>
          <w:lang w:val="en-US"/>
        </w:rPr>
        <w:t>. A G+N</w:t>
      </w:r>
      <w:r>
        <w:rPr>
          <w:vertAlign w:val="subscript"/>
          <w:lang w:val="en-US"/>
        </w:rPr>
        <w:t>20</w:t>
      </w:r>
      <w:r>
        <w:rPr>
          <w:lang w:val="en-US"/>
        </w:rPr>
        <w:t xml:space="preserve"> gRNA is not a perfect match and eSpCas9 will have minimal activity.</w:t>
      </w:r>
    </w:p>
    <w:p w:rsidR="00DE1B5C" w:rsidRDefault="00454D42" w:rsidP="009E757E">
      <w:pPr>
        <w:jc w:val="both"/>
        <w:rPr>
          <w:lang w:val="en-US"/>
        </w:rPr>
      </w:pPr>
      <w:r>
        <w:rPr>
          <w:lang w:val="en-US"/>
        </w:rPr>
        <w:t xml:space="preserve">Even with eSpCas9 off-targets are still possible hence they </w:t>
      </w:r>
      <w:r w:rsidR="009E757E">
        <w:rPr>
          <w:lang w:val="en-US"/>
        </w:rPr>
        <w:t>should</w:t>
      </w:r>
      <w:r>
        <w:rPr>
          <w:lang w:val="en-US"/>
        </w:rPr>
        <w:t xml:space="preserve"> be addressed by either genome wide off-target screening methods (</w:t>
      </w:r>
      <w:r w:rsidR="00DE1B5C">
        <w:rPr>
          <w:lang w:val="en-US"/>
        </w:rPr>
        <w:t xml:space="preserve">e.g. </w:t>
      </w:r>
      <w:proofErr w:type="spellStart"/>
      <w:r>
        <w:rPr>
          <w:lang w:val="en-US"/>
        </w:rPr>
        <w:t>Digenome-seq</w:t>
      </w:r>
      <w:proofErr w:type="spellEnd"/>
      <w:r>
        <w:rPr>
          <w:lang w:val="en-US"/>
        </w:rPr>
        <w:t>, CIRCLE-</w:t>
      </w:r>
      <w:proofErr w:type="spellStart"/>
      <w:r>
        <w:rPr>
          <w:lang w:val="en-US"/>
        </w:rPr>
        <w:t>seq</w:t>
      </w:r>
      <w:proofErr w:type="spellEnd"/>
      <w:r w:rsidR="00DE1B5C">
        <w:rPr>
          <w:lang w:val="en-US"/>
        </w:rPr>
        <w:t xml:space="preserve"> or SITE-</w:t>
      </w:r>
      <w:proofErr w:type="spellStart"/>
      <w:r w:rsidR="00DE1B5C">
        <w:rPr>
          <w:lang w:val="en-US"/>
        </w:rPr>
        <w:t>seq</w:t>
      </w:r>
      <w:proofErr w:type="spellEnd"/>
      <w:r w:rsidR="00DE1B5C">
        <w:rPr>
          <w:lang w:val="en-US"/>
        </w:rPr>
        <w:t xml:space="preserve">) or by having at least two independent (different gRNAs) clones for </w:t>
      </w:r>
      <w:r w:rsidR="009E757E">
        <w:rPr>
          <w:lang w:val="en-US"/>
        </w:rPr>
        <w:t>each</w:t>
      </w:r>
      <w:r w:rsidR="00DE1B5C">
        <w:rPr>
          <w:lang w:val="en-US"/>
        </w:rPr>
        <w:t xml:space="preserve"> targeting. For research applications the latter option is the best control to have; </w:t>
      </w:r>
      <w:r w:rsidR="00EE40BE">
        <w:rPr>
          <w:b/>
          <w:lang w:val="en-US"/>
        </w:rPr>
        <w:t>independent</w:t>
      </w:r>
      <w:r w:rsidR="00DE1B5C" w:rsidRPr="009E757E">
        <w:rPr>
          <w:b/>
          <w:lang w:val="en-US"/>
        </w:rPr>
        <w:t xml:space="preserve"> gRNAs have different off-targets, hence a phenotype replicated by two </w:t>
      </w:r>
      <w:r w:rsidR="009E757E">
        <w:rPr>
          <w:lang w:val="en-US"/>
        </w:rPr>
        <w:t xml:space="preserve">(or more) </w:t>
      </w:r>
      <w:r w:rsidR="00DE1B5C" w:rsidRPr="009E757E">
        <w:rPr>
          <w:b/>
          <w:lang w:val="en-US"/>
        </w:rPr>
        <w:t>independent clones cannot be due to off-targeting</w:t>
      </w:r>
      <w:r w:rsidR="00DE1B5C">
        <w:rPr>
          <w:lang w:val="en-US"/>
        </w:rPr>
        <w:t>.</w:t>
      </w:r>
    </w:p>
    <w:p w:rsidR="00DE1B5C" w:rsidRPr="00454D42" w:rsidRDefault="00DE1B5C" w:rsidP="009E757E">
      <w:pPr>
        <w:jc w:val="both"/>
        <w:rPr>
          <w:lang w:val="en-US"/>
        </w:rPr>
      </w:pPr>
      <w:r>
        <w:rPr>
          <w:lang w:val="en-US"/>
        </w:rPr>
        <w:t>If independent clones are not possible (e.g. with many HDR targetings</w:t>
      </w:r>
      <w:r w:rsidR="009E757E">
        <w:rPr>
          <w:lang w:val="en-US"/>
        </w:rPr>
        <w:t xml:space="preserve"> using one gRNA</w:t>
      </w:r>
      <w:r>
        <w:rPr>
          <w:lang w:val="en-US"/>
        </w:rPr>
        <w:t>) a screening method should ideally be applied to exclude off-target effects.</w:t>
      </w:r>
    </w:p>
    <w:p w:rsidR="00454D42" w:rsidRDefault="00454D42" w:rsidP="009E757E">
      <w:pPr>
        <w:jc w:val="both"/>
        <w:rPr>
          <w:lang w:val="en-US"/>
        </w:rPr>
      </w:pPr>
    </w:p>
    <w:p w:rsidR="0056036F" w:rsidRDefault="0056036F" w:rsidP="009E757E">
      <w:pPr>
        <w:rPr>
          <w:lang w:val="en-US"/>
        </w:rPr>
      </w:pPr>
      <w:r>
        <w:rPr>
          <w:lang w:val="en-US"/>
        </w:rPr>
        <w:lastRenderedPageBreak/>
        <w:t>Fig 1. pMIA3 (1sg-eSpCas9-2AmRuby2-2Amtp53dn)</w:t>
      </w:r>
      <w:r>
        <w:rPr>
          <w:noProof/>
          <w:lang w:eastAsia="en-GB"/>
        </w:rPr>
        <w:drawing>
          <wp:inline distT="0" distB="0" distL="0" distR="0" wp14:anchorId="4FE077A6" wp14:editId="715B07F3">
            <wp:extent cx="5724525" cy="4067175"/>
            <wp:effectExtent l="0" t="0" r="9525" b="9525"/>
            <wp:docPr id="2" name="Picture 2" descr="C:\Users\autiomi\Dropbox\GIS\CRISPR\pMIA3 1sg-eSpCas9-2AmRuby2-2Amp53D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utiomi\Dropbox\GIS\CRISPR\pMIA3 1sg-eSpCas9-2AmRuby2-2Amp53DD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154"/>
                    <a:stretch/>
                  </pic:blipFill>
                  <pic:spPr bwMode="auto">
                    <a:xfrm>
                      <a:off x="0" y="0"/>
                      <a:ext cx="5724525" cy="406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6036F" w:rsidRDefault="0056036F" w:rsidP="009E757E">
      <w:pPr>
        <w:jc w:val="both"/>
        <w:rPr>
          <w:lang w:val="en-US"/>
        </w:rPr>
      </w:pPr>
      <w:r>
        <w:rPr>
          <w:lang w:val="en-US"/>
        </w:rPr>
        <w:t xml:space="preserve">Fig 2. </w:t>
      </w:r>
      <w:proofErr w:type="spellStart"/>
      <w:proofErr w:type="gramStart"/>
      <w:r>
        <w:rPr>
          <w:lang w:val="en-US"/>
        </w:rPr>
        <w:t>pCAG</w:t>
      </w:r>
      <w:proofErr w:type="spellEnd"/>
      <w:r>
        <w:rPr>
          <w:lang w:val="en-US"/>
        </w:rPr>
        <w:t>-eGxxFP</w:t>
      </w:r>
      <w:proofErr w:type="gramEnd"/>
      <w:r>
        <w:rPr>
          <w:lang w:val="en-US"/>
        </w:rPr>
        <w:t xml:space="preserve"> </w:t>
      </w:r>
    </w:p>
    <w:p w:rsidR="0056036F" w:rsidRPr="005A25D6" w:rsidRDefault="0056036F" w:rsidP="009E757E">
      <w:pPr>
        <w:jc w:val="both"/>
        <w:rPr>
          <w:lang w:val="en-US"/>
        </w:rPr>
      </w:pPr>
      <w:r>
        <w:rPr>
          <w:noProof/>
          <w:lang w:eastAsia="en-GB"/>
        </w:rPr>
        <w:drawing>
          <wp:inline distT="0" distB="0" distL="0" distR="0" wp14:anchorId="7E2FAE70" wp14:editId="064400C4">
            <wp:extent cx="5731510" cy="3884479"/>
            <wp:effectExtent l="0" t="0" r="2540" b="1905"/>
            <wp:docPr id="1" name="Picture 1" descr="C:\Users\autiomi\Dropbox\GIS\CRISPR\pCAG-EGxxF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utiomi\Dropbox\GIS\CRISPR\pCAG-EGxxFP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692" b="5129"/>
                    <a:stretch/>
                  </pic:blipFill>
                  <pic:spPr bwMode="auto">
                    <a:xfrm>
                      <a:off x="0" y="0"/>
                      <a:ext cx="5731510" cy="38844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56036F" w:rsidRPr="005A25D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CB80E0B"/>
    <w:multiLevelType w:val="hybridMultilevel"/>
    <w:tmpl w:val="D312009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EF1A63"/>
    <w:multiLevelType w:val="hybridMultilevel"/>
    <w:tmpl w:val="F9640A0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121D"/>
    <w:rsid w:val="00000845"/>
    <w:rsid w:val="00015159"/>
    <w:rsid w:val="0001624D"/>
    <w:rsid w:val="00030676"/>
    <w:rsid w:val="000E0217"/>
    <w:rsid w:val="00104008"/>
    <w:rsid w:val="001306F0"/>
    <w:rsid w:val="001323B5"/>
    <w:rsid w:val="00165DB6"/>
    <w:rsid w:val="0018602E"/>
    <w:rsid w:val="002776BC"/>
    <w:rsid w:val="002B3DCD"/>
    <w:rsid w:val="002E5C84"/>
    <w:rsid w:val="00313646"/>
    <w:rsid w:val="0031385C"/>
    <w:rsid w:val="0032159A"/>
    <w:rsid w:val="00330627"/>
    <w:rsid w:val="003322EA"/>
    <w:rsid w:val="00332CB8"/>
    <w:rsid w:val="003B4A7C"/>
    <w:rsid w:val="00401DED"/>
    <w:rsid w:val="00416781"/>
    <w:rsid w:val="00435172"/>
    <w:rsid w:val="00454D42"/>
    <w:rsid w:val="00461BE8"/>
    <w:rsid w:val="00464EBB"/>
    <w:rsid w:val="004A126D"/>
    <w:rsid w:val="004D55B8"/>
    <w:rsid w:val="0056036F"/>
    <w:rsid w:val="00594246"/>
    <w:rsid w:val="005A25D6"/>
    <w:rsid w:val="005C0AA4"/>
    <w:rsid w:val="005C2786"/>
    <w:rsid w:val="005F3CD2"/>
    <w:rsid w:val="0069121D"/>
    <w:rsid w:val="006969E2"/>
    <w:rsid w:val="00760BA8"/>
    <w:rsid w:val="00784D84"/>
    <w:rsid w:val="007962AA"/>
    <w:rsid w:val="00856D73"/>
    <w:rsid w:val="00881F59"/>
    <w:rsid w:val="008E79A3"/>
    <w:rsid w:val="009076E0"/>
    <w:rsid w:val="009104FE"/>
    <w:rsid w:val="009A52E5"/>
    <w:rsid w:val="009B020C"/>
    <w:rsid w:val="009B046E"/>
    <w:rsid w:val="009D3D72"/>
    <w:rsid w:val="009E757E"/>
    <w:rsid w:val="009F22B8"/>
    <w:rsid w:val="00A3359E"/>
    <w:rsid w:val="00A93AB2"/>
    <w:rsid w:val="00AB01DF"/>
    <w:rsid w:val="00AD2144"/>
    <w:rsid w:val="00AE09C1"/>
    <w:rsid w:val="00AF1763"/>
    <w:rsid w:val="00B44DD6"/>
    <w:rsid w:val="00B556D4"/>
    <w:rsid w:val="00B63480"/>
    <w:rsid w:val="00BA242D"/>
    <w:rsid w:val="00BC3A48"/>
    <w:rsid w:val="00BD3DB7"/>
    <w:rsid w:val="00C0659F"/>
    <w:rsid w:val="00C079FB"/>
    <w:rsid w:val="00C331AA"/>
    <w:rsid w:val="00C3743A"/>
    <w:rsid w:val="00C72FA8"/>
    <w:rsid w:val="00CE1051"/>
    <w:rsid w:val="00D125AE"/>
    <w:rsid w:val="00D24991"/>
    <w:rsid w:val="00DA7435"/>
    <w:rsid w:val="00DD30D4"/>
    <w:rsid w:val="00DE1B5C"/>
    <w:rsid w:val="00DE534F"/>
    <w:rsid w:val="00E27C7E"/>
    <w:rsid w:val="00E92E05"/>
    <w:rsid w:val="00EE164F"/>
    <w:rsid w:val="00EE40BE"/>
    <w:rsid w:val="00EF26AB"/>
    <w:rsid w:val="00F149E3"/>
    <w:rsid w:val="00F161B2"/>
    <w:rsid w:val="00F16A95"/>
    <w:rsid w:val="00F410E9"/>
    <w:rsid w:val="00F87185"/>
    <w:rsid w:val="00F91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5821152-2C99-457F-A142-30BC68837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9121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9121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9121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9121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9121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9121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69121D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69121D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9121D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itle">
    <w:name w:val="Title"/>
    <w:basedOn w:val="Normal"/>
    <w:next w:val="Normal"/>
    <w:link w:val="TitleChar"/>
    <w:uiPriority w:val="10"/>
    <w:qFormat/>
    <w:rsid w:val="0069121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912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NoSpacing">
    <w:name w:val="No Spacing"/>
    <w:uiPriority w:val="1"/>
    <w:qFormat/>
    <w:rsid w:val="002E5C84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27C7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7C7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0340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360</TotalTime>
  <Pages>3</Pages>
  <Words>973</Words>
  <Characters>5550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MyCompany</Company>
  <LinksUpToDate>false</LinksUpToDate>
  <CharactersWithSpaces>6510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AUTIO Matias Ilmari</dc:creator>
  <cp:keywords/>
  <dc:description/>
  <cp:lastModifiedBy>AUTIO Matias Ilmari</cp:lastModifiedBy>
  <cp:revision>76</cp:revision>
  <cp:lastPrinted>2017-07-28T02:02:00Z</cp:lastPrinted>
  <dcterms:created xsi:type="dcterms:W3CDTF">2017-06-11T07:00:00Z</dcterms:created>
  <dcterms:modified xsi:type="dcterms:W3CDTF">2017-07-28T04:08:00Z</dcterms:modified>
</cp:coreProperties>
</file>