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E93" w:rsidRDefault="008A0B67">
      <w:r>
        <w:rPr>
          <w:rFonts w:ascii="Arial" w:hAnsi="Arial" w:cs="Arial"/>
        </w:rPr>
        <w:t>ICAM1-Fc fusion protein was obtained by cloning a PCR fragment (</w:t>
      </w:r>
      <w:proofErr w:type="spellStart"/>
      <w:r>
        <w:rPr>
          <w:rFonts w:ascii="Arial" w:hAnsi="Arial" w:cs="Arial"/>
        </w:rPr>
        <w:t>fwd</w:t>
      </w:r>
      <w:proofErr w:type="spellEnd"/>
      <w:r>
        <w:rPr>
          <w:rFonts w:ascii="Arial" w:hAnsi="Arial" w:cs="Arial"/>
        </w:rPr>
        <w:t xml:space="preserve"> primer: </w:t>
      </w:r>
      <w:proofErr w:type="spellStart"/>
      <w:r>
        <w:rPr>
          <w:rFonts w:ascii="Arial" w:hAnsi="Arial" w:cs="Arial"/>
        </w:rPr>
        <w:t>tgtcacgaattcgcaggtatccatccatcccagagaag</w:t>
      </w:r>
      <w:proofErr w:type="spellEnd"/>
      <w:r>
        <w:rPr>
          <w:rFonts w:ascii="Arial" w:hAnsi="Arial" w:cs="Arial"/>
        </w:rPr>
        <w:t xml:space="preserve">, rev: </w:t>
      </w:r>
      <w:proofErr w:type="spellStart"/>
      <w:r>
        <w:rPr>
          <w:rFonts w:ascii="Arial" w:hAnsi="Arial" w:cs="Arial"/>
        </w:rPr>
        <w:t>atgcagatctgttattttgagagtggtacagt</w:t>
      </w:r>
      <w:proofErr w:type="spellEnd"/>
      <w:r>
        <w:rPr>
          <w:rFonts w:ascii="Arial" w:hAnsi="Arial" w:cs="Arial"/>
        </w:rPr>
        <w:t>) obtained using murine lung cDNA as a template. The PCR product was cloned into pFUSE-rIgG-Fc2 (</w:t>
      </w:r>
      <w:proofErr w:type="spellStart"/>
      <w:r>
        <w:rPr>
          <w:rFonts w:ascii="Arial" w:hAnsi="Arial" w:cs="Arial"/>
        </w:rPr>
        <w:t>Invivogen</w:t>
      </w:r>
      <w:proofErr w:type="spellEnd"/>
      <w:r>
        <w:rPr>
          <w:rFonts w:ascii="Arial" w:hAnsi="Arial" w:cs="Arial"/>
        </w:rPr>
        <w:t xml:space="preserve">) via </w:t>
      </w:r>
      <w:proofErr w:type="spellStart"/>
      <w:r>
        <w:rPr>
          <w:rFonts w:ascii="Arial" w:hAnsi="Arial" w:cs="Arial"/>
        </w:rPr>
        <w:t>BglII</w:t>
      </w:r>
      <w:proofErr w:type="spellEnd"/>
      <w:r>
        <w:rPr>
          <w:rFonts w:ascii="Arial" w:hAnsi="Arial" w:cs="Arial"/>
        </w:rPr>
        <w:t>/</w:t>
      </w:r>
      <w:proofErr w:type="spellStart"/>
      <w:r>
        <w:rPr>
          <w:rFonts w:ascii="Arial" w:hAnsi="Arial" w:cs="Arial"/>
        </w:rPr>
        <w:t>EcoRI</w:t>
      </w:r>
      <w:proofErr w:type="spellEnd"/>
      <w:r>
        <w:rPr>
          <w:rFonts w:ascii="Arial" w:hAnsi="Arial" w:cs="Arial"/>
        </w:rPr>
        <w:t xml:space="preserve"> restriction sites, replacing the en</w:t>
      </w:r>
      <w:bookmarkStart w:id="0" w:name="_GoBack"/>
      <w:bookmarkEnd w:id="0"/>
      <w:r>
        <w:rPr>
          <w:rFonts w:ascii="Arial" w:hAnsi="Arial" w:cs="Arial"/>
        </w:rPr>
        <w:t>dogenous signal peptide with the vector encoded IL-2 signal sequence and the membrane domain with a rabbit IgG Fc2 part.</w:t>
      </w:r>
    </w:p>
    <w:sectPr w:rsidR="00304E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B67"/>
    <w:rsid w:val="00304E93"/>
    <w:rsid w:val="008A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Steinmetz</dc:creator>
  <cp:lastModifiedBy>Steinmetz</cp:lastModifiedBy>
  <cp:revision>1</cp:revision>
  <dcterms:created xsi:type="dcterms:W3CDTF">2020-06-26T09:15:00Z</dcterms:created>
  <dcterms:modified xsi:type="dcterms:W3CDTF">2020-06-26T09:15:00Z</dcterms:modified>
</cp:coreProperties>
</file>