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A06A2" w14:textId="7472A3DF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The method for generating the construct is described </w:t>
      </w:r>
      <w:r>
        <w:rPr>
          <w:rFonts w:ascii="Calibri" w:hAnsi="Calibri"/>
          <w:color w:val="000000"/>
          <w:sz w:val="22"/>
          <w:szCs w:val="22"/>
        </w:rPr>
        <w:t>in Shamsi et al, Nature Communications 2020</w:t>
      </w:r>
      <w:r>
        <w:rPr>
          <w:rFonts w:ascii="Calibri" w:hAnsi="Calibri"/>
          <w:color w:val="000000"/>
          <w:sz w:val="22"/>
          <w:szCs w:val="22"/>
        </w:rPr>
        <w:t xml:space="preserve"> (PMID: 32184391):</w:t>
      </w:r>
      <w:r>
        <w:rPr>
          <w:rStyle w:val="apple-converted-space"/>
          <w:rFonts w:ascii="Calibri" w:hAnsi="Calibri"/>
          <w:color w:val="000000"/>
          <w:sz w:val="22"/>
          <w:szCs w:val="22"/>
        </w:rPr>
        <w:t> </w:t>
      </w:r>
    </w:p>
    <w:p w14:paraId="36CD25B5" w14:textId="77777777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382B9379" w14:textId="7659E0CD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Construction of </w:t>
      </w:r>
      <w:proofErr w:type="spellStart"/>
      <w:r>
        <w:rPr>
          <w:rFonts w:ascii="Calibri" w:hAnsi="Calibri"/>
          <w:color w:val="000000"/>
          <w:sz w:val="22"/>
          <w:szCs w:val="22"/>
        </w:rPr>
        <w:t>p</w:t>
      </w:r>
      <w:r>
        <w:rPr>
          <w:rFonts w:ascii="Calibri" w:hAnsi="Calibri"/>
          <w:color w:val="000000"/>
          <w:sz w:val="22"/>
          <w:szCs w:val="22"/>
        </w:rPr>
        <w:t>AAV</w:t>
      </w:r>
      <w:proofErr w:type="spellEnd"/>
      <w:r>
        <w:rPr>
          <w:rFonts w:ascii="Calibri" w:hAnsi="Calibri"/>
          <w:color w:val="000000"/>
          <w:sz w:val="22"/>
          <w:szCs w:val="22"/>
        </w:rPr>
        <w:t>-</w:t>
      </w:r>
      <w:proofErr w:type="spellStart"/>
      <w:r>
        <w:rPr>
          <w:rFonts w:ascii="Calibri" w:hAnsi="Calibri"/>
          <w:color w:val="000000"/>
          <w:sz w:val="22"/>
          <w:szCs w:val="22"/>
        </w:rPr>
        <w:t>h</w:t>
      </w:r>
      <w:r>
        <w:rPr>
          <w:rFonts w:ascii="Calibri" w:hAnsi="Calibri"/>
          <w:color w:val="000000"/>
          <w:sz w:val="22"/>
          <w:szCs w:val="22"/>
        </w:rPr>
        <w:t>adip</w:t>
      </w:r>
      <w:r>
        <w:rPr>
          <w:rFonts w:ascii="Calibri" w:hAnsi="Calibri"/>
          <w:color w:val="000000"/>
          <w:sz w:val="22"/>
          <w:szCs w:val="22"/>
        </w:rPr>
        <w:t>q</w:t>
      </w:r>
      <w:proofErr w:type="spellEnd"/>
      <w:r>
        <w:rPr>
          <w:rFonts w:ascii="Calibri" w:hAnsi="Calibri"/>
          <w:color w:val="000000"/>
          <w:sz w:val="22"/>
          <w:szCs w:val="22"/>
        </w:rPr>
        <w:t>-GFP plasmid</w:t>
      </w:r>
      <w:r>
        <w:rPr>
          <w:rFonts w:ascii="Calibri" w:hAnsi="Calibri"/>
          <w:color w:val="000000"/>
          <w:sz w:val="22"/>
          <w:szCs w:val="22"/>
        </w:rPr>
        <w:t>:</w:t>
      </w:r>
    </w:p>
    <w:p w14:paraId="7EC87C2B" w14:textId="77777777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14:paraId="772C54B6" w14:textId="7AC5512F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The distal enhancer (−2664 to −2507 bp) and the promoter (−540 to +77 bp) of the human adiponectin gene were cloned from genomic DNA using the following primers (backbone in lowercase and insert in upper case):</w:t>
      </w:r>
      <w:r>
        <w:rPr>
          <w:rStyle w:val="apple-converted-space"/>
          <w:rFonts w:ascii="Calibri" w:hAnsi="Calibri"/>
          <w:color w:val="000000"/>
          <w:sz w:val="22"/>
          <w:szCs w:val="22"/>
        </w:rPr>
        <w:t> </w:t>
      </w:r>
    </w:p>
    <w:p w14:paraId="7ABAC0A7" w14:textId="77777777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hAdipoQ-enhancer_forward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: </w:t>
      </w:r>
      <w:proofErr w:type="spellStart"/>
      <w:r>
        <w:rPr>
          <w:rFonts w:ascii="Calibri" w:hAnsi="Calibri"/>
          <w:color w:val="000000"/>
          <w:sz w:val="22"/>
          <w:szCs w:val="22"/>
        </w:rPr>
        <w:t>cctagatctgaattcggtacCTCTTTCCACATGACGGC</w:t>
      </w:r>
      <w:proofErr w:type="spellEnd"/>
      <w:r>
        <w:rPr>
          <w:rFonts w:ascii="Calibri" w:hAnsi="Calibri"/>
          <w:color w:val="000000"/>
          <w:sz w:val="22"/>
          <w:szCs w:val="22"/>
        </w:rPr>
        <w:t>,</w:t>
      </w:r>
    </w:p>
    <w:p w14:paraId="697DAE4B" w14:textId="77777777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hAdipoQ-enhancer_reverse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: </w:t>
      </w:r>
      <w:proofErr w:type="spellStart"/>
      <w:r>
        <w:rPr>
          <w:rFonts w:ascii="Calibri" w:hAnsi="Calibri"/>
          <w:color w:val="000000"/>
          <w:sz w:val="22"/>
          <w:szCs w:val="22"/>
        </w:rPr>
        <w:t>acatgaattcGCTGTAGCTATTGCACAAG</w:t>
      </w:r>
      <w:proofErr w:type="spellEnd"/>
      <w:r>
        <w:rPr>
          <w:rFonts w:ascii="Calibri" w:hAnsi="Calibri"/>
          <w:color w:val="000000"/>
          <w:sz w:val="22"/>
          <w:szCs w:val="22"/>
        </w:rPr>
        <w:t>.</w:t>
      </w:r>
    </w:p>
    <w:p w14:paraId="1594552E" w14:textId="77777777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hAdipoQ-promoter_forward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: </w:t>
      </w:r>
      <w:proofErr w:type="spellStart"/>
      <w:r>
        <w:rPr>
          <w:rFonts w:ascii="Calibri" w:hAnsi="Calibri"/>
          <w:color w:val="000000"/>
          <w:sz w:val="22"/>
          <w:szCs w:val="22"/>
        </w:rPr>
        <w:t>tagctacagcGAATTCATGTGCAAGGTC</w:t>
      </w:r>
      <w:proofErr w:type="spellEnd"/>
      <w:r>
        <w:rPr>
          <w:rFonts w:ascii="Calibri" w:hAnsi="Calibri"/>
          <w:color w:val="000000"/>
          <w:sz w:val="22"/>
          <w:szCs w:val="22"/>
        </w:rPr>
        <w:t>,</w:t>
      </w:r>
    </w:p>
    <w:p w14:paraId="769488B2" w14:textId="77777777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Fonts w:ascii="Calibri" w:hAnsi="Calibri"/>
          <w:color w:val="000000"/>
          <w:sz w:val="22"/>
          <w:szCs w:val="22"/>
        </w:rPr>
        <w:t>hAdipoQ-promoter_reverse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: </w:t>
      </w:r>
      <w:proofErr w:type="spellStart"/>
      <w:r>
        <w:rPr>
          <w:rFonts w:ascii="Calibri" w:hAnsi="Calibri"/>
          <w:color w:val="000000"/>
          <w:sz w:val="22"/>
          <w:szCs w:val="22"/>
        </w:rPr>
        <w:t>attccgcggactagtttttaCCCTCTGGTATGGAATCAG</w:t>
      </w:r>
      <w:proofErr w:type="spellEnd"/>
      <w:r>
        <w:rPr>
          <w:rFonts w:ascii="Calibri" w:hAnsi="Calibri"/>
          <w:color w:val="000000"/>
          <w:sz w:val="22"/>
          <w:szCs w:val="22"/>
        </w:rPr>
        <w:t>.</w:t>
      </w:r>
    </w:p>
    <w:p w14:paraId="3B4CFD57" w14:textId="77777777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14:paraId="139FC302" w14:textId="4DD21AB3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 xml:space="preserve">The Gibson Assembly Kit (New England Biolabs, Ipswich, MA) was used to replace the CBA promoter in the </w:t>
      </w:r>
      <w:proofErr w:type="spellStart"/>
      <w:r>
        <w:rPr>
          <w:rFonts w:ascii="Calibri" w:hAnsi="Calibri"/>
          <w:color w:val="000000"/>
          <w:sz w:val="22"/>
          <w:szCs w:val="22"/>
        </w:rPr>
        <w:t>pAAV</w:t>
      </w:r>
      <w:proofErr w:type="spellEnd"/>
      <w:r>
        <w:rPr>
          <w:rFonts w:ascii="Calibri" w:hAnsi="Calibri"/>
          <w:color w:val="000000"/>
          <w:sz w:val="22"/>
          <w:szCs w:val="22"/>
        </w:rPr>
        <w:t>-CBA-W backbone with the human Adiponectin enhancer and promoter sequences (</w:t>
      </w:r>
      <w:proofErr w:type="spellStart"/>
      <w:r>
        <w:rPr>
          <w:rFonts w:ascii="Calibri" w:hAnsi="Calibri"/>
          <w:color w:val="000000"/>
          <w:sz w:val="22"/>
          <w:szCs w:val="22"/>
        </w:rPr>
        <w:t>pAAV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</w:t>
      </w:r>
      <w:proofErr w:type="spellStart"/>
      <w:r>
        <w:rPr>
          <w:rFonts w:ascii="Calibri" w:hAnsi="Calibri"/>
          <w:color w:val="000000"/>
          <w:sz w:val="22"/>
          <w:szCs w:val="22"/>
        </w:rPr>
        <w:t>hAdiponectin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-W). </w:t>
      </w:r>
      <w:proofErr w:type="spellStart"/>
      <w:r>
        <w:rPr>
          <w:rFonts w:ascii="Calibri" w:hAnsi="Calibri"/>
          <w:color w:val="000000"/>
          <w:sz w:val="22"/>
          <w:szCs w:val="22"/>
        </w:rPr>
        <w:t>Gfp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cDNA was derived from </w:t>
      </w:r>
      <w:proofErr w:type="spellStart"/>
      <w:r>
        <w:rPr>
          <w:rFonts w:ascii="Calibri" w:hAnsi="Calibri"/>
          <w:color w:val="000000"/>
          <w:sz w:val="22"/>
          <w:szCs w:val="22"/>
        </w:rPr>
        <w:t>pLenti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-GFP-Blast (Addgene, plasmid #17445). The </w:t>
      </w:r>
      <w:proofErr w:type="spellStart"/>
      <w:r>
        <w:rPr>
          <w:rFonts w:ascii="Calibri" w:hAnsi="Calibri"/>
          <w:color w:val="000000"/>
          <w:sz w:val="22"/>
          <w:szCs w:val="22"/>
        </w:rPr>
        <w:t>pAAV</w:t>
      </w:r>
      <w:proofErr w:type="spellEnd"/>
      <w:r>
        <w:rPr>
          <w:rFonts w:ascii="Calibri" w:hAnsi="Calibri"/>
          <w:color w:val="000000"/>
          <w:sz w:val="22"/>
          <w:szCs w:val="22"/>
        </w:rPr>
        <w:t>-</w:t>
      </w:r>
      <w:proofErr w:type="spellStart"/>
      <w:r>
        <w:rPr>
          <w:rFonts w:ascii="Calibri" w:hAnsi="Calibri"/>
          <w:color w:val="000000"/>
          <w:sz w:val="22"/>
          <w:szCs w:val="22"/>
        </w:rPr>
        <w:t>hAdiponectin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-W backbone was linearized using </w:t>
      </w:r>
      <w:proofErr w:type="spellStart"/>
      <w:r>
        <w:rPr>
          <w:rFonts w:ascii="Calibri" w:hAnsi="Calibri"/>
          <w:color w:val="000000"/>
          <w:sz w:val="22"/>
          <w:szCs w:val="22"/>
        </w:rPr>
        <w:t>XhoI</w:t>
      </w:r>
      <w:proofErr w:type="spellEnd"/>
      <w:r>
        <w:rPr>
          <w:rFonts w:ascii="Calibri" w:hAnsi="Calibri"/>
          <w:color w:val="000000"/>
          <w:sz w:val="22"/>
          <w:szCs w:val="22"/>
        </w:rPr>
        <w:t>/</w:t>
      </w:r>
      <w:proofErr w:type="spellStart"/>
      <w:r>
        <w:rPr>
          <w:rFonts w:ascii="Calibri" w:hAnsi="Calibri"/>
          <w:color w:val="000000"/>
          <w:sz w:val="22"/>
          <w:szCs w:val="22"/>
        </w:rPr>
        <w:t>NotI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 (</w:t>
      </w:r>
      <w:proofErr w:type="spellStart"/>
      <w:r>
        <w:rPr>
          <w:rFonts w:ascii="Calibri" w:hAnsi="Calibri"/>
          <w:color w:val="000000"/>
          <w:sz w:val="22"/>
          <w:szCs w:val="22"/>
        </w:rPr>
        <w:t>Gfp</w:t>
      </w:r>
      <w:proofErr w:type="spellEnd"/>
      <w:r>
        <w:rPr>
          <w:rFonts w:ascii="Calibri" w:hAnsi="Calibri"/>
          <w:color w:val="000000"/>
          <w:sz w:val="22"/>
          <w:szCs w:val="22"/>
        </w:rPr>
        <w:t xml:space="preserve">) and ligated with </w:t>
      </w:r>
      <w:r>
        <w:rPr>
          <w:rFonts w:ascii="Calibri" w:hAnsi="Calibri"/>
          <w:color w:val="000000"/>
          <w:sz w:val="22"/>
          <w:szCs w:val="22"/>
        </w:rPr>
        <w:t>the</w:t>
      </w:r>
      <w:r>
        <w:rPr>
          <w:rFonts w:ascii="Calibri" w:hAnsi="Calibri"/>
          <w:color w:val="000000"/>
          <w:sz w:val="22"/>
          <w:szCs w:val="22"/>
        </w:rPr>
        <w:t xml:space="preserve"> insert.</w:t>
      </w:r>
    </w:p>
    <w:p w14:paraId="105724B7" w14:textId="7A28323B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14:paraId="2DAEEAC8" w14:textId="4F019694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Similar constructs expressing m</w:t>
      </w:r>
      <w:r>
        <w:rPr>
          <w:rFonts w:ascii="Calibri" w:hAnsi="Calibri"/>
          <w:color w:val="000000"/>
          <w:sz w:val="22"/>
          <w:szCs w:val="22"/>
        </w:rPr>
        <w:t>ouse Fgf6 and Fgf9 cDNAs</w:t>
      </w:r>
      <w:r>
        <w:rPr>
          <w:rFonts w:ascii="Calibri" w:hAnsi="Calibri"/>
          <w:color w:val="000000"/>
          <w:sz w:val="22"/>
          <w:szCs w:val="22"/>
        </w:rPr>
        <w:t xml:space="preserve"> are generated and will be provided upon request from the authors. </w:t>
      </w:r>
    </w:p>
    <w:p w14:paraId="731BF2A6" w14:textId="2A71D5D8" w:rsidR="008A5602" w:rsidRDefault="008A5602" w:rsidP="008A5602">
      <w:pPr>
        <w:pStyle w:val="xmsonormal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</w:p>
    <w:p w14:paraId="229D9D51" w14:textId="77777777" w:rsidR="00CB44D2" w:rsidRDefault="00CB44D2"/>
    <w:sectPr w:rsidR="00CB44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02"/>
    <w:rsid w:val="00066A5A"/>
    <w:rsid w:val="001443CD"/>
    <w:rsid w:val="00436580"/>
    <w:rsid w:val="004B6D87"/>
    <w:rsid w:val="004C62BE"/>
    <w:rsid w:val="008A5602"/>
    <w:rsid w:val="009A734B"/>
    <w:rsid w:val="00CB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520CC"/>
  <w15:chartTrackingRefBased/>
  <w15:docId w15:val="{4C8A23BB-0B6A-E649-99E1-4C4CA1A6E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8A560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8A5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66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926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82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24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5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677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8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72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Farnaz Shamsi</dc:creator>
  <cp:keywords/>
  <dc:description/>
  <cp:lastModifiedBy>Farnaz Shamsi</cp:lastModifiedBy>
  <cp:revision>1</cp:revision>
  <dcterms:created xsi:type="dcterms:W3CDTF">2021-08-29T00:08:00Z</dcterms:created>
  <dcterms:modified xsi:type="dcterms:W3CDTF">2021-08-29T00:12:00Z</dcterms:modified>
</cp:coreProperties>
</file>