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DF78D" w14:textId="3C07E05E" w:rsidR="00CA2AA9" w:rsidRDefault="00CA2AA9" w:rsidP="00CA2AA9">
      <w:pPr>
        <w:shd w:val="clear" w:color="auto" w:fill="FFFFFF"/>
        <w:spacing w:after="270" w:line="240" w:lineRule="auto"/>
        <w:outlineLvl w:val="1"/>
        <w:rPr>
          <w:rFonts w:ascii="Times New Roman" w:hAnsi="Times New Roman" w:cs="Times New Roman"/>
          <w:b/>
          <w:bCs/>
          <w:color w:val="000000" w:themeColor="text1"/>
          <w:sz w:val="24"/>
          <w:szCs w:val="24"/>
        </w:rPr>
      </w:pPr>
      <w:r w:rsidRPr="00CA2AA9">
        <w:rPr>
          <w:rFonts w:ascii="Times New Roman" w:hAnsi="Times New Roman" w:cs="Times New Roman"/>
          <w:color w:val="000000" w:themeColor="text1"/>
          <w:sz w:val="24"/>
          <w:szCs w:val="24"/>
        </w:rPr>
        <w:t>pAR100 and pAR101 cloning.</w:t>
      </w:r>
      <w:r w:rsidRPr="00CA2AA9">
        <w:rPr>
          <w:rFonts w:ascii="Times New Roman" w:hAnsi="Times New Roman" w:cs="Times New Roman"/>
          <w:b/>
          <w:bCs/>
          <w:color w:val="000000" w:themeColor="text1"/>
          <w:sz w:val="24"/>
          <w:szCs w:val="24"/>
        </w:rPr>
        <w:t xml:space="preserve"> </w:t>
      </w:r>
    </w:p>
    <w:p w14:paraId="15373A56" w14:textId="647AC7A2" w:rsidR="00CA2AA9" w:rsidRPr="00CA2AA9" w:rsidRDefault="00CA2AA9" w:rsidP="00CA2AA9">
      <w:pPr>
        <w:shd w:val="clear" w:color="auto" w:fill="FFFFFF"/>
        <w:spacing w:after="270" w:line="240" w:lineRule="auto"/>
        <w:outlineLvl w:val="1"/>
        <w:rPr>
          <w:rFonts w:ascii="Times New Roman" w:hAnsi="Times New Roman" w:cs="Times New Roman"/>
          <w:b/>
          <w:bCs/>
          <w:color w:val="000000" w:themeColor="text1"/>
          <w:sz w:val="24"/>
          <w:szCs w:val="24"/>
        </w:rPr>
      </w:pPr>
      <w:r w:rsidRPr="00CA2AA9">
        <w:rPr>
          <w:rFonts w:ascii="Times New Roman" w:hAnsi="Times New Roman" w:cs="Times New Roman"/>
          <w:sz w:val="24"/>
          <w:szCs w:val="24"/>
        </w:rPr>
        <w:t xml:space="preserve">This assay was modified from that described by </w:t>
      </w:r>
      <w:proofErr w:type="spellStart"/>
      <w:r w:rsidRPr="00CA2AA9">
        <w:rPr>
          <w:rFonts w:ascii="Times New Roman" w:hAnsi="Times New Roman" w:cs="Times New Roman"/>
          <w:sz w:val="24"/>
          <w:szCs w:val="24"/>
        </w:rPr>
        <w:t>Anmole</w:t>
      </w:r>
      <w:proofErr w:type="spellEnd"/>
      <w:r w:rsidRPr="00CA2AA9">
        <w:rPr>
          <w:rFonts w:ascii="Times New Roman" w:hAnsi="Times New Roman" w:cs="Times New Roman"/>
          <w:sz w:val="24"/>
          <w:szCs w:val="24"/>
        </w:rPr>
        <w:t xml:space="preserve"> et al. (2015), where separate plasmid DNAs encoding TCRα, TCRβ genes, CD8 alpha, and a nuclear factor of activated T cells (NFAT)-luciferase reporter were transiently co-transfected in </w:t>
      </w:r>
      <w:proofErr w:type="spellStart"/>
      <w:r w:rsidRPr="00CA2AA9">
        <w:rPr>
          <w:rFonts w:ascii="Times New Roman" w:hAnsi="Times New Roman" w:cs="Times New Roman"/>
          <w:sz w:val="24"/>
          <w:szCs w:val="24"/>
        </w:rPr>
        <w:t>Jurkat</w:t>
      </w:r>
      <w:proofErr w:type="spellEnd"/>
      <w:r w:rsidRPr="00CA2AA9">
        <w:rPr>
          <w:rFonts w:ascii="Times New Roman" w:hAnsi="Times New Roman" w:cs="Times New Roman"/>
          <w:sz w:val="24"/>
          <w:szCs w:val="24"/>
        </w:rPr>
        <w:t xml:space="preserve"> “effector” cells. Here, and </w:t>
      </w:r>
      <w:proofErr w:type="gramStart"/>
      <w:r w:rsidRPr="00CA2AA9">
        <w:rPr>
          <w:rFonts w:ascii="Times New Roman" w:hAnsi="Times New Roman" w:cs="Times New Roman"/>
          <w:sz w:val="24"/>
          <w:szCs w:val="24"/>
        </w:rPr>
        <w:t>in order to</w:t>
      </w:r>
      <w:proofErr w:type="gramEnd"/>
      <w:r w:rsidRPr="00CA2AA9">
        <w:rPr>
          <w:rFonts w:ascii="Times New Roman" w:hAnsi="Times New Roman" w:cs="Times New Roman"/>
          <w:sz w:val="24"/>
          <w:szCs w:val="24"/>
        </w:rPr>
        <w:t xml:space="preserve"> simplify the TCR assay, two plasmids, pAR100 and pAR101, were produced that allowed for the expression of all the necessary components (CD8α, luciferase and both TCR chains) within the one plasmid. pAR100 allows cloning of TCRs through restriction enzymes (</w:t>
      </w:r>
      <w:proofErr w:type="spellStart"/>
      <w:r w:rsidRPr="00CA2AA9">
        <w:rPr>
          <w:rFonts w:ascii="Times New Roman" w:hAnsi="Times New Roman" w:cs="Times New Roman"/>
          <w:sz w:val="24"/>
          <w:szCs w:val="24"/>
        </w:rPr>
        <w:t>AflII</w:t>
      </w:r>
      <w:proofErr w:type="spellEnd"/>
      <w:r w:rsidRPr="00CA2AA9">
        <w:rPr>
          <w:rFonts w:ascii="Times New Roman" w:hAnsi="Times New Roman" w:cs="Times New Roman"/>
          <w:sz w:val="24"/>
          <w:szCs w:val="24"/>
        </w:rPr>
        <w:t>/</w:t>
      </w:r>
      <w:proofErr w:type="spellStart"/>
      <w:r w:rsidRPr="00CA2AA9">
        <w:rPr>
          <w:rFonts w:ascii="Times New Roman" w:hAnsi="Times New Roman" w:cs="Times New Roman"/>
          <w:sz w:val="24"/>
          <w:szCs w:val="24"/>
        </w:rPr>
        <w:t>ApaI</w:t>
      </w:r>
      <w:proofErr w:type="spellEnd"/>
      <w:r w:rsidRPr="00CA2AA9">
        <w:rPr>
          <w:rFonts w:ascii="Times New Roman" w:hAnsi="Times New Roman" w:cs="Times New Roman"/>
          <w:sz w:val="24"/>
          <w:szCs w:val="24"/>
        </w:rPr>
        <w:t xml:space="preserve"> and </w:t>
      </w:r>
      <w:proofErr w:type="spellStart"/>
      <w:r w:rsidRPr="00CA2AA9">
        <w:rPr>
          <w:rFonts w:ascii="Times New Roman" w:hAnsi="Times New Roman" w:cs="Times New Roman"/>
          <w:sz w:val="24"/>
          <w:szCs w:val="24"/>
        </w:rPr>
        <w:t>SacII</w:t>
      </w:r>
      <w:proofErr w:type="spellEnd"/>
      <w:r w:rsidRPr="00CA2AA9">
        <w:rPr>
          <w:rFonts w:ascii="Times New Roman" w:hAnsi="Times New Roman" w:cs="Times New Roman"/>
          <w:sz w:val="24"/>
          <w:szCs w:val="24"/>
        </w:rPr>
        <w:t>), whilst pAR101 permits Gateway® cloning of the TCRαβ chains.</w:t>
      </w:r>
    </w:p>
    <w:p w14:paraId="0B0EBBFC" w14:textId="72662212" w:rsidR="00CA2AA9" w:rsidRPr="00CA2AA9" w:rsidRDefault="00CA2AA9" w:rsidP="00CA2AA9">
      <w:pPr>
        <w:shd w:val="clear" w:color="auto" w:fill="FFFFFF"/>
        <w:spacing w:after="270" w:line="240" w:lineRule="auto"/>
        <w:outlineLvl w:val="1"/>
        <w:rPr>
          <w:rFonts w:ascii="Times New Roman" w:hAnsi="Times New Roman" w:cs="Times New Roman"/>
          <w:color w:val="000000" w:themeColor="text1"/>
          <w:sz w:val="24"/>
          <w:szCs w:val="24"/>
        </w:rPr>
      </w:pPr>
      <w:r w:rsidRPr="00CA2AA9">
        <w:rPr>
          <w:rFonts w:ascii="Times New Roman" w:hAnsi="Times New Roman" w:cs="Times New Roman"/>
          <w:color w:val="000000" w:themeColor="text1"/>
          <w:sz w:val="24"/>
          <w:szCs w:val="24"/>
        </w:rPr>
        <w:t xml:space="preserve">To create pAR100, CD8A was PCR-amplified from pORF9-hCD8Aa </w:t>
      </w:r>
      <w:r w:rsidRPr="00CA2AA9">
        <w:rPr>
          <w:rFonts w:ascii="Times New Roman" w:hAnsi="Times New Roman" w:cs="Times New Roman"/>
          <w:sz w:val="24"/>
          <w:szCs w:val="24"/>
        </w:rPr>
        <w:t>(</w:t>
      </w:r>
      <w:proofErr w:type="spellStart"/>
      <w:r w:rsidRPr="00CA2AA9">
        <w:rPr>
          <w:rFonts w:ascii="Times New Roman" w:hAnsi="Times New Roman" w:cs="Times New Roman"/>
          <w:sz w:val="24"/>
          <w:szCs w:val="24"/>
        </w:rPr>
        <w:t>InvivoGen</w:t>
      </w:r>
      <w:proofErr w:type="spellEnd"/>
      <w:r w:rsidRPr="00CA2AA9">
        <w:rPr>
          <w:rFonts w:ascii="Times New Roman" w:hAnsi="Times New Roman" w:cs="Times New Roman"/>
          <w:sz w:val="24"/>
          <w:szCs w:val="24"/>
        </w:rPr>
        <w:t>)</w:t>
      </w:r>
      <w:r w:rsidRPr="00CA2AA9">
        <w:rPr>
          <w:rFonts w:ascii="Times New Roman" w:hAnsi="Times New Roman" w:cs="Times New Roman"/>
          <w:color w:val="000000" w:themeColor="text1"/>
          <w:sz w:val="24"/>
          <w:szCs w:val="24"/>
        </w:rPr>
        <w:t xml:space="preserve"> plasmid using CD8_F and CD8_R primers flanking with </w:t>
      </w:r>
      <w:proofErr w:type="spellStart"/>
      <w:r w:rsidRPr="00CA2AA9">
        <w:rPr>
          <w:rFonts w:ascii="Times New Roman" w:hAnsi="Times New Roman" w:cs="Times New Roman"/>
          <w:color w:val="000000" w:themeColor="text1"/>
          <w:sz w:val="24"/>
          <w:szCs w:val="24"/>
        </w:rPr>
        <w:t>AgeI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AflII</w:t>
      </w:r>
      <w:proofErr w:type="spellEnd"/>
      <w:r w:rsidRPr="00CA2AA9">
        <w:rPr>
          <w:rFonts w:ascii="Times New Roman" w:hAnsi="Times New Roman" w:cs="Times New Roman"/>
          <w:color w:val="000000" w:themeColor="text1"/>
          <w:sz w:val="24"/>
          <w:szCs w:val="24"/>
        </w:rPr>
        <w:t xml:space="preserve"> restriction enzyme sites (</w:t>
      </w:r>
      <w:r w:rsidRPr="00CA2AA9">
        <w:rPr>
          <w:rFonts w:ascii="Times New Roman" w:hAnsi="Times New Roman" w:cs="Times New Roman"/>
          <w:color w:val="000000" w:themeColor="text1"/>
          <w:sz w:val="24"/>
          <w:szCs w:val="24"/>
          <w:shd w:val="clear" w:color="auto" w:fill="FFFFFF"/>
        </w:rPr>
        <w:t>Table S3)</w:t>
      </w:r>
      <w:r w:rsidRPr="00CA2AA9">
        <w:rPr>
          <w:rFonts w:ascii="Times New Roman" w:hAnsi="Times New Roman" w:cs="Times New Roman"/>
          <w:color w:val="000000" w:themeColor="text1"/>
          <w:sz w:val="24"/>
          <w:szCs w:val="24"/>
        </w:rPr>
        <w:t xml:space="preserve">, respectively. The 1.3 kb PCR fragment was digested with </w:t>
      </w:r>
      <w:proofErr w:type="spellStart"/>
      <w:r w:rsidRPr="00CA2AA9">
        <w:rPr>
          <w:rFonts w:ascii="Times New Roman" w:hAnsi="Times New Roman" w:cs="Times New Roman"/>
          <w:color w:val="000000" w:themeColor="text1"/>
          <w:sz w:val="24"/>
          <w:szCs w:val="24"/>
        </w:rPr>
        <w:t>AgeI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AflII</w:t>
      </w:r>
      <w:proofErr w:type="spellEnd"/>
      <w:r w:rsidRPr="00CA2AA9">
        <w:rPr>
          <w:rFonts w:ascii="Times New Roman" w:hAnsi="Times New Roman" w:cs="Times New Roman"/>
          <w:color w:val="000000" w:themeColor="text1"/>
          <w:sz w:val="24"/>
          <w:szCs w:val="24"/>
        </w:rPr>
        <w:t xml:space="preserve"> and cloned into a similarly digested </w:t>
      </w:r>
      <w:proofErr w:type="spellStart"/>
      <w:r w:rsidRPr="00CA2AA9">
        <w:rPr>
          <w:rFonts w:ascii="Times New Roman" w:hAnsi="Times New Roman" w:cs="Times New Roman"/>
          <w:color w:val="000000" w:themeColor="text1"/>
          <w:sz w:val="24"/>
          <w:szCs w:val="24"/>
        </w:rPr>
        <w:t>pSELECT-GFPzeo-mcs</w:t>
      </w:r>
      <w:proofErr w:type="spellEnd"/>
      <w:r w:rsidRPr="00CA2AA9">
        <w:rPr>
          <w:rFonts w:ascii="Times New Roman" w:hAnsi="Times New Roman" w:cs="Times New Roman"/>
          <w:color w:val="000000" w:themeColor="text1"/>
          <w:sz w:val="24"/>
          <w:szCs w:val="24"/>
        </w:rPr>
        <w:t xml:space="preserve"> plasmid </w:t>
      </w:r>
      <w:r w:rsidRPr="00CA2AA9">
        <w:rPr>
          <w:rFonts w:ascii="Times New Roman" w:hAnsi="Times New Roman" w:cs="Times New Roman"/>
          <w:sz w:val="24"/>
          <w:szCs w:val="24"/>
        </w:rPr>
        <w:t>(</w:t>
      </w:r>
      <w:proofErr w:type="spellStart"/>
      <w:r w:rsidRPr="00CA2AA9">
        <w:rPr>
          <w:rFonts w:ascii="Times New Roman" w:hAnsi="Times New Roman" w:cs="Times New Roman"/>
          <w:sz w:val="24"/>
          <w:szCs w:val="24"/>
        </w:rPr>
        <w:t>InvivoGen</w:t>
      </w:r>
      <w:proofErr w:type="spellEnd"/>
      <w:r w:rsidRPr="00CA2AA9">
        <w:rPr>
          <w:rFonts w:ascii="Times New Roman" w:hAnsi="Times New Roman" w:cs="Times New Roman"/>
          <w:sz w:val="24"/>
          <w:szCs w:val="24"/>
        </w:rPr>
        <w:t>)</w:t>
      </w:r>
      <w:r w:rsidRPr="00CA2AA9">
        <w:rPr>
          <w:rFonts w:ascii="Times New Roman" w:hAnsi="Times New Roman" w:cs="Times New Roman"/>
          <w:color w:val="000000" w:themeColor="text1"/>
          <w:sz w:val="24"/>
          <w:szCs w:val="24"/>
        </w:rPr>
        <w:t xml:space="preserve">. The resultant plasmid, pIIID_GFP_CD8, was linearized with </w:t>
      </w:r>
      <w:proofErr w:type="spellStart"/>
      <w:r w:rsidRPr="00CA2AA9">
        <w:rPr>
          <w:rFonts w:ascii="Times New Roman" w:hAnsi="Times New Roman" w:cs="Times New Roman"/>
          <w:color w:val="000000" w:themeColor="text1"/>
          <w:sz w:val="24"/>
          <w:szCs w:val="24"/>
        </w:rPr>
        <w:t>NheI</w:t>
      </w:r>
      <w:proofErr w:type="spellEnd"/>
      <w:r w:rsidRPr="00CA2AA9">
        <w:rPr>
          <w:rFonts w:ascii="Times New Roman" w:hAnsi="Times New Roman" w:cs="Times New Roman"/>
          <w:color w:val="000000" w:themeColor="text1"/>
          <w:sz w:val="24"/>
          <w:szCs w:val="24"/>
        </w:rPr>
        <w:t xml:space="preserve">, dephosphorylated with calf intestinal alkaline phosphatase and a multiple cloning site (MCS) I was added. To generate MCSI, forward and reverse primers containing </w:t>
      </w:r>
      <w:proofErr w:type="spellStart"/>
      <w:r w:rsidRPr="00CA2AA9">
        <w:rPr>
          <w:rFonts w:ascii="Times New Roman" w:hAnsi="Times New Roman" w:cs="Times New Roman"/>
          <w:color w:val="000000" w:themeColor="text1"/>
          <w:sz w:val="24"/>
          <w:szCs w:val="24"/>
        </w:rPr>
        <w:t>AflII</w:t>
      </w:r>
      <w:proofErr w:type="spellEnd"/>
      <w:r w:rsidRPr="00CA2AA9">
        <w:rPr>
          <w:rFonts w:ascii="Times New Roman" w:hAnsi="Times New Roman" w:cs="Times New Roman"/>
          <w:color w:val="000000" w:themeColor="text1"/>
          <w:sz w:val="24"/>
          <w:szCs w:val="24"/>
        </w:rPr>
        <w:t xml:space="preserve">, </w:t>
      </w:r>
      <w:proofErr w:type="spellStart"/>
      <w:r w:rsidRPr="00CA2AA9">
        <w:rPr>
          <w:rFonts w:ascii="Times New Roman" w:hAnsi="Times New Roman" w:cs="Times New Roman"/>
          <w:color w:val="000000" w:themeColor="text1"/>
          <w:sz w:val="24"/>
          <w:szCs w:val="24"/>
        </w:rPr>
        <w:t>ApaI</w:t>
      </w:r>
      <w:proofErr w:type="spellEnd"/>
      <w:r w:rsidRPr="00CA2AA9">
        <w:rPr>
          <w:rFonts w:ascii="Times New Roman" w:hAnsi="Times New Roman" w:cs="Times New Roman"/>
          <w:color w:val="000000" w:themeColor="text1"/>
          <w:sz w:val="24"/>
          <w:szCs w:val="24"/>
        </w:rPr>
        <w:t xml:space="preserve">, </w:t>
      </w:r>
      <w:proofErr w:type="spellStart"/>
      <w:r w:rsidRPr="00CA2AA9">
        <w:rPr>
          <w:rFonts w:ascii="Times New Roman" w:hAnsi="Times New Roman" w:cs="Times New Roman"/>
          <w:color w:val="000000" w:themeColor="text1"/>
          <w:sz w:val="24"/>
          <w:szCs w:val="24"/>
        </w:rPr>
        <w:t>AscI</w:t>
      </w:r>
      <w:proofErr w:type="spellEnd"/>
      <w:r w:rsidRPr="00CA2AA9">
        <w:rPr>
          <w:rFonts w:ascii="Times New Roman" w:hAnsi="Times New Roman" w:cs="Times New Roman"/>
          <w:color w:val="000000" w:themeColor="text1"/>
          <w:sz w:val="24"/>
          <w:szCs w:val="24"/>
        </w:rPr>
        <w:t xml:space="preserve">, </w:t>
      </w:r>
      <w:proofErr w:type="spellStart"/>
      <w:r w:rsidRPr="00CA2AA9">
        <w:rPr>
          <w:rFonts w:ascii="Times New Roman" w:hAnsi="Times New Roman" w:cs="Times New Roman"/>
          <w:color w:val="000000" w:themeColor="text1"/>
          <w:sz w:val="24"/>
          <w:szCs w:val="24"/>
        </w:rPr>
        <w:t>BsiWI</w:t>
      </w:r>
      <w:proofErr w:type="spellEnd"/>
      <w:r w:rsidRPr="00CA2AA9">
        <w:rPr>
          <w:rFonts w:ascii="Times New Roman" w:hAnsi="Times New Roman" w:cs="Times New Roman"/>
          <w:color w:val="000000" w:themeColor="text1"/>
          <w:sz w:val="24"/>
          <w:szCs w:val="24"/>
        </w:rPr>
        <w:t xml:space="preserve">, BstZ17I, </w:t>
      </w:r>
      <w:proofErr w:type="spellStart"/>
      <w:r w:rsidRPr="00CA2AA9">
        <w:rPr>
          <w:rFonts w:ascii="Times New Roman" w:hAnsi="Times New Roman" w:cs="Times New Roman"/>
          <w:color w:val="000000" w:themeColor="text1"/>
          <w:sz w:val="24"/>
          <w:szCs w:val="24"/>
        </w:rPr>
        <w:t>NruI</w:t>
      </w:r>
      <w:proofErr w:type="spellEnd"/>
      <w:r w:rsidRPr="00CA2AA9">
        <w:rPr>
          <w:rFonts w:ascii="Times New Roman" w:hAnsi="Times New Roman" w:cs="Times New Roman"/>
          <w:color w:val="000000" w:themeColor="text1"/>
          <w:sz w:val="24"/>
          <w:szCs w:val="24"/>
        </w:rPr>
        <w:t xml:space="preserve">, </w:t>
      </w:r>
      <w:proofErr w:type="spellStart"/>
      <w:r w:rsidRPr="00CA2AA9">
        <w:rPr>
          <w:rFonts w:ascii="Times New Roman" w:hAnsi="Times New Roman" w:cs="Times New Roman"/>
          <w:color w:val="000000" w:themeColor="text1"/>
          <w:sz w:val="24"/>
          <w:szCs w:val="24"/>
        </w:rPr>
        <w:t>PstI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SacII</w:t>
      </w:r>
      <w:proofErr w:type="spellEnd"/>
      <w:r w:rsidRPr="00CA2AA9">
        <w:rPr>
          <w:rFonts w:ascii="Times New Roman" w:hAnsi="Times New Roman" w:cs="Times New Roman"/>
          <w:color w:val="000000" w:themeColor="text1"/>
          <w:sz w:val="24"/>
          <w:szCs w:val="24"/>
        </w:rPr>
        <w:t xml:space="preserve"> flanking with </w:t>
      </w:r>
      <w:proofErr w:type="spellStart"/>
      <w:r w:rsidRPr="00CA2AA9">
        <w:rPr>
          <w:rFonts w:ascii="Times New Roman" w:hAnsi="Times New Roman" w:cs="Times New Roman"/>
          <w:color w:val="000000" w:themeColor="text1"/>
          <w:sz w:val="24"/>
          <w:szCs w:val="24"/>
        </w:rPr>
        <w:t>NheI</w:t>
      </w:r>
      <w:proofErr w:type="spellEnd"/>
      <w:r w:rsidRPr="00CA2AA9">
        <w:rPr>
          <w:rFonts w:ascii="Times New Roman" w:hAnsi="Times New Roman" w:cs="Times New Roman"/>
          <w:color w:val="000000" w:themeColor="text1"/>
          <w:sz w:val="24"/>
          <w:szCs w:val="24"/>
        </w:rPr>
        <w:t xml:space="preserve"> overhangs were designed and annealed. For annealing, 20 µM of each primer was mixed in the presence of NEB Buffer#2 (New England Biolabs) and annealed at 95</w:t>
      </w:r>
      <w:r w:rsidRPr="00CA2AA9">
        <w:rPr>
          <w:rFonts w:ascii="Times New Roman" w:hAnsi="Times New Roman" w:cs="Times New Roman"/>
          <w:color w:val="000000" w:themeColor="text1"/>
          <w:sz w:val="24"/>
          <w:szCs w:val="24"/>
          <w:vertAlign w:val="superscript"/>
        </w:rPr>
        <w:t>o</w:t>
      </w:r>
      <w:r w:rsidRPr="00CA2AA9">
        <w:rPr>
          <w:rFonts w:ascii="Times New Roman" w:hAnsi="Times New Roman" w:cs="Times New Roman"/>
          <w:color w:val="000000" w:themeColor="text1"/>
          <w:sz w:val="24"/>
          <w:szCs w:val="24"/>
        </w:rPr>
        <w:t xml:space="preserve">C for 5 min followed by cooling to room temperature. The resultant annealed MCSI with </w:t>
      </w:r>
      <w:proofErr w:type="spellStart"/>
      <w:r w:rsidRPr="00CA2AA9">
        <w:rPr>
          <w:rFonts w:ascii="Times New Roman" w:hAnsi="Times New Roman" w:cs="Times New Roman"/>
          <w:color w:val="000000" w:themeColor="text1"/>
          <w:sz w:val="24"/>
          <w:szCs w:val="24"/>
        </w:rPr>
        <w:t>NheI</w:t>
      </w:r>
      <w:proofErr w:type="spellEnd"/>
      <w:r w:rsidRPr="00CA2AA9">
        <w:rPr>
          <w:rFonts w:ascii="Times New Roman" w:hAnsi="Times New Roman" w:cs="Times New Roman"/>
          <w:color w:val="000000" w:themeColor="text1"/>
          <w:sz w:val="24"/>
          <w:szCs w:val="24"/>
        </w:rPr>
        <w:t xml:space="preserve"> overhangs was ligated into </w:t>
      </w:r>
      <w:proofErr w:type="spellStart"/>
      <w:r w:rsidRPr="00CA2AA9">
        <w:rPr>
          <w:rFonts w:ascii="Times New Roman" w:hAnsi="Times New Roman" w:cs="Times New Roman"/>
          <w:color w:val="000000" w:themeColor="text1"/>
          <w:sz w:val="24"/>
          <w:szCs w:val="24"/>
        </w:rPr>
        <w:t>NheI</w:t>
      </w:r>
      <w:proofErr w:type="spellEnd"/>
      <w:r w:rsidRPr="00CA2AA9">
        <w:rPr>
          <w:rFonts w:ascii="Times New Roman" w:hAnsi="Times New Roman" w:cs="Times New Roman"/>
          <w:color w:val="000000" w:themeColor="text1"/>
          <w:sz w:val="24"/>
          <w:szCs w:val="24"/>
        </w:rPr>
        <w:t xml:space="preserve">-linearized pIIID_GFP_CD8 plasmid to produce pIIID_GFP_CD8_MCSI. Similarly, an additional multiple cloning site, MCSII, containing </w:t>
      </w:r>
      <w:proofErr w:type="spellStart"/>
      <w:r w:rsidRPr="00CA2AA9">
        <w:rPr>
          <w:rFonts w:ascii="Times New Roman" w:hAnsi="Times New Roman" w:cs="Times New Roman"/>
          <w:color w:val="000000" w:themeColor="text1"/>
          <w:sz w:val="24"/>
          <w:szCs w:val="24"/>
        </w:rPr>
        <w:t>KpnI</w:t>
      </w:r>
      <w:proofErr w:type="spellEnd"/>
      <w:r w:rsidRPr="00CA2AA9">
        <w:rPr>
          <w:rFonts w:ascii="Times New Roman" w:hAnsi="Times New Roman" w:cs="Times New Roman"/>
          <w:color w:val="000000" w:themeColor="text1"/>
          <w:sz w:val="24"/>
          <w:szCs w:val="24"/>
        </w:rPr>
        <w:t xml:space="preserve">, </w:t>
      </w:r>
      <w:proofErr w:type="spellStart"/>
      <w:r w:rsidRPr="00CA2AA9">
        <w:rPr>
          <w:rFonts w:ascii="Times New Roman" w:hAnsi="Times New Roman" w:cs="Times New Roman"/>
          <w:color w:val="000000" w:themeColor="text1"/>
          <w:sz w:val="24"/>
          <w:szCs w:val="24"/>
        </w:rPr>
        <w:t>XbaI</w:t>
      </w:r>
      <w:proofErr w:type="spellEnd"/>
      <w:r w:rsidRPr="00CA2AA9">
        <w:rPr>
          <w:rFonts w:ascii="Times New Roman" w:hAnsi="Times New Roman" w:cs="Times New Roman"/>
          <w:color w:val="000000" w:themeColor="text1"/>
          <w:sz w:val="24"/>
          <w:szCs w:val="24"/>
        </w:rPr>
        <w:t xml:space="preserve">, </w:t>
      </w:r>
      <w:proofErr w:type="spellStart"/>
      <w:r w:rsidRPr="00CA2AA9">
        <w:rPr>
          <w:rFonts w:ascii="Times New Roman" w:hAnsi="Times New Roman" w:cs="Times New Roman"/>
          <w:color w:val="000000" w:themeColor="text1"/>
          <w:sz w:val="24"/>
          <w:szCs w:val="24"/>
        </w:rPr>
        <w:t>BamHI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SalI</w:t>
      </w:r>
      <w:proofErr w:type="spellEnd"/>
      <w:r w:rsidRPr="00CA2AA9">
        <w:rPr>
          <w:rFonts w:ascii="Times New Roman" w:hAnsi="Times New Roman" w:cs="Times New Roman"/>
          <w:color w:val="000000" w:themeColor="text1"/>
          <w:sz w:val="24"/>
          <w:szCs w:val="24"/>
        </w:rPr>
        <w:t xml:space="preserve"> flanking with </w:t>
      </w:r>
      <w:proofErr w:type="spellStart"/>
      <w:r w:rsidRPr="00CA2AA9">
        <w:rPr>
          <w:rFonts w:ascii="Times New Roman" w:hAnsi="Times New Roman" w:cs="Times New Roman"/>
          <w:color w:val="000000" w:themeColor="text1"/>
          <w:sz w:val="24"/>
          <w:szCs w:val="24"/>
        </w:rPr>
        <w:t>EcoRI</w:t>
      </w:r>
      <w:proofErr w:type="spellEnd"/>
      <w:r w:rsidRPr="00CA2AA9">
        <w:rPr>
          <w:rFonts w:ascii="Times New Roman" w:hAnsi="Times New Roman" w:cs="Times New Roman"/>
          <w:color w:val="000000" w:themeColor="text1"/>
          <w:sz w:val="24"/>
          <w:szCs w:val="24"/>
        </w:rPr>
        <w:t xml:space="preserve"> overhangs was designed, </w:t>
      </w:r>
      <w:proofErr w:type="gramStart"/>
      <w:r w:rsidRPr="00CA2AA9">
        <w:rPr>
          <w:rFonts w:ascii="Times New Roman" w:hAnsi="Times New Roman" w:cs="Times New Roman"/>
          <w:color w:val="000000" w:themeColor="text1"/>
          <w:sz w:val="24"/>
          <w:szCs w:val="24"/>
        </w:rPr>
        <w:t>annealed</w:t>
      </w:r>
      <w:proofErr w:type="gramEnd"/>
      <w:r w:rsidRPr="00CA2AA9">
        <w:rPr>
          <w:rFonts w:ascii="Times New Roman" w:hAnsi="Times New Roman" w:cs="Times New Roman"/>
          <w:color w:val="000000" w:themeColor="text1"/>
          <w:sz w:val="24"/>
          <w:szCs w:val="24"/>
        </w:rPr>
        <w:t xml:space="preserve"> and ligated into </w:t>
      </w:r>
      <w:proofErr w:type="spellStart"/>
      <w:r w:rsidRPr="00CA2AA9">
        <w:rPr>
          <w:rFonts w:ascii="Times New Roman" w:hAnsi="Times New Roman" w:cs="Times New Roman"/>
          <w:color w:val="000000" w:themeColor="text1"/>
          <w:sz w:val="24"/>
          <w:szCs w:val="24"/>
        </w:rPr>
        <w:t>EcoRI</w:t>
      </w:r>
      <w:proofErr w:type="spellEnd"/>
      <w:r w:rsidRPr="00CA2AA9">
        <w:rPr>
          <w:rFonts w:ascii="Times New Roman" w:hAnsi="Times New Roman" w:cs="Times New Roman"/>
          <w:color w:val="000000" w:themeColor="text1"/>
          <w:sz w:val="24"/>
          <w:szCs w:val="24"/>
        </w:rPr>
        <w:t>-linearized pIIID_GFP_CD8_MCSI plasmid to produce pIIID_GFP_CD8_MCSI_MCSII. Later, luciferase with the NFAT promoter from pGL3- NFAT luciferase plasmid (</w:t>
      </w:r>
      <w:proofErr w:type="spellStart"/>
      <w:r w:rsidRPr="00CA2AA9">
        <w:rPr>
          <w:rFonts w:ascii="Times New Roman" w:hAnsi="Times New Roman" w:cs="Times New Roman"/>
          <w:color w:val="000000" w:themeColor="text1"/>
          <w:sz w:val="24"/>
          <w:szCs w:val="24"/>
        </w:rPr>
        <w:t>Addgene</w:t>
      </w:r>
      <w:proofErr w:type="spellEnd"/>
      <w:r w:rsidRPr="00CA2AA9">
        <w:rPr>
          <w:rFonts w:ascii="Times New Roman" w:hAnsi="Times New Roman" w:cs="Times New Roman"/>
          <w:color w:val="000000" w:themeColor="text1"/>
          <w:sz w:val="24"/>
          <w:szCs w:val="24"/>
        </w:rPr>
        <w:t xml:space="preserve">) was digested with </w:t>
      </w:r>
      <w:proofErr w:type="spellStart"/>
      <w:r w:rsidRPr="00CA2AA9">
        <w:rPr>
          <w:rFonts w:ascii="Times New Roman" w:hAnsi="Times New Roman" w:cs="Times New Roman"/>
          <w:color w:val="000000" w:themeColor="text1"/>
          <w:sz w:val="24"/>
          <w:szCs w:val="24"/>
        </w:rPr>
        <w:t>KpnI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SalI</w:t>
      </w:r>
      <w:proofErr w:type="spellEnd"/>
      <w:r w:rsidRPr="00CA2AA9">
        <w:rPr>
          <w:rFonts w:ascii="Times New Roman" w:hAnsi="Times New Roman" w:cs="Times New Roman"/>
          <w:color w:val="000000" w:themeColor="text1"/>
          <w:sz w:val="24"/>
          <w:szCs w:val="24"/>
        </w:rPr>
        <w:t xml:space="preserve"> and ligated into a similarly digested pIIID_GFP_CD8_MCSI_MCSII plasmid. The resultant plasmid was named pAR100</w:t>
      </w:r>
      <w:r>
        <w:rPr>
          <w:rFonts w:ascii="Times New Roman" w:hAnsi="Times New Roman" w:cs="Times New Roman"/>
          <w:color w:val="000000" w:themeColor="text1"/>
          <w:sz w:val="24"/>
          <w:szCs w:val="24"/>
        </w:rPr>
        <w:t>.</w:t>
      </w:r>
    </w:p>
    <w:p w14:paraId="414FC9B5" w14:textId="3567F0B4" w:rsidR="007C37A1" w:rsidRPr="00CA2AA9" w:rsidRDefault="00CA2AA9" w:rsidP="00CA2AA9">
      <w:pPr>
        <w:spacing w:line="240" w:lineRule="auto"/>
      </w:pPr>
      <w:r w:rsidRPr="00CA2AA9">
        <w:rPr>
          <w:rFonts w:ascii="Times New Roman" w:hAnsi="Times New Roman" w:cs="Times New Roman"/>
          <w:color w:val="000000" w:themeColor="text1"/>
          <w:sz w:val="24"/>
          <w:szCs w:val="24"/>
        </w:rPr>
        <w:t xml:space="preserve">To create pAR101 which allows Gateway® cloning of TCRs, reading frame cassette A was PCR-amplified from pDONR201 (Invitrogen) using attR1-KpnI and attR2-EcoRV primers flanking with </w:t>
      </w:r>
      <w:proofErr w:type="spellStart"/>
      <w:r w:rsidRPr="00CA2AA9">
        <w:rPr>
          <w:rFonts w:ascii="Times New Roman" w:hAnsi="Times New Roman" w:cs="Times New Roman"/>
          <w:color w:val="000000" w:themeColor="text1"/>
          <w:sz w:val="24"/>
          <w:szCs w:val="24"/>
        </w:rPr>
        <w:t>KpnI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EcoRV</w:t>
      </w:r>
      <w:proofErr w:type="spellEnd"/>
      <w:r w:rsidRPr="00CA2AA9">
        <w:rPr>
          <w:rFonts w:ascii="Times New Roman" w:hAnsi="Times New Roman" w:cs="Times New Roman"/>
          <w:color w:val="000000" w:themeColor="text1"/>
          <w:sz w:val="24"/>
          <w:szCs w:val="24"/>
        </w:rPr>
        <w:t xml:space="preserve">, respectively. The PCR amplified reading frame cassette A was digested with </w:t>
      </w:r>
      <w:proofErr w:type="spellStart"/>
      <w:r w:rsidRPr="00CA2AA9">
        <w:rPr>
          <w:rFonts w:ascii="Times New Roman" w:hAnsi="Times New Roman" w:cs="Times New Roman"/>
          <w:color w:val="000000" w:themeColor="text1"/>
          <w:sz w:val="24"/>
          <w:szCs w:val="24"/>
        </w:rPr>
        <w:t>KpnI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EcoRV</w:t>
      </w:r>
      <w:proofErr w:type="spellEnd"/>
      <w:r w:rsidRPr="00CA2AA9">
        <w:rPr>
          <w:rFonts w:ascii="Times New Roman" w:hAnsi="Times New Roman" w:cs="Times New Roman"/>
          <w:color w:val="000000" w:themeColor="text1"/>
          <w:sz w:val="24"/>
          <w:szCs w:val="24"/>
        </w:rPr>
        <w:t xml:space="preserve"> and ligated into similarly digested pcDNA3.1(+) plasmid (Invitrogen). The resultant plasmid, pcDNA3.1-attR1R2 was digested with </w:t>
      </w:r>
      <w:proofErr w:type="spellStart"/>
      <w:r w:rsidRPr="00CA2AA9">
        <w:rPr>
          <w:rFonts w:ascii="Times New Roman" w:hAnsi="Times New Roman" w:cs="Times New Roman"/>
          <w:color w:val="000000" w:themeColor="text1"/>
          <w:sz w:val="24"/>
          <w:szCs w:val="24"/>
        </w:rPr>
        <w:t>AflII</w:t>
      </w:r>
      <w:proofErr w:type="spellEnd"/>
      <w:r w:rsidRPr="00CA2AA9">
        <w:rPr>
          <w:rFonts w:ascii="Times New Roman" w:hAnsi="Times New Roman" w:cs="Times New Roman"/>
          <w:color w:val="000000" w:themeColor="text1"/>
          <w:sz w:val="24"/>
          <w:szCs w:val="24"/>
        </w:rPr>
        <w:t xml:space="preserve"> and </w:t>
      </w:r>
      <w:proofErr w:type="spellStart"/>
      <w:r w:rsidRPr="00CA2AA9">
        <w:rPr>
          <w:rFonts w:ascii="Times New Roman" w:hAnsi="Times New Roman" w:cs="Times New Roman"/>
          <w:color w:val="000000" w:themeColor="text1"/>
          <w:sz w:val="24"/>
          <w:szCs w:val="24"/>
        </w:rPr>
        <w:t>ApaI</w:t>
      </w:r>
      <w:proofErr w:type="spellEnd"/>
      <w:r w:rsidRPr="00CA2AA9">
        <w:rPr>
          <w:rFonts w:ascii="Times New Roman" w:hAnsi="Times New Roman" w:cs="Times New Roman"/>
          <w:color w:val="000000" w:themeColor="text1"/>
          <w:sz w:val="24"/>
          <w:szCs w:val="24"/>
        </w:rPr>
        <w:t xml:space="preserve"> and ligated into similarly digested pAR100. The final plasmid was named pAR101</w:t>
      </w:r>
      <w:r>
        <w:rPr>
          <w:rFonts w:ascii="Times New Roman" w:hAnsi="Times New Roman" w:cs="Times New Roman"/>
          <w:color w:val="000000" w:themeColor="text1"/>
          <w:sz w:val="24"/>
          <w:szCs w:val="24"/>
        </w:rPr>
        <w:t>.</w:t>
      </w:r>
      <w:r w:rsidRPr="00CA2AA9">
        <w:rPr>
          <w:rFonts w:ascii="Times New Roman" w:hAnsi="Times New Roman" w:cs="Times New Roman"/>
          <w:color w:val="000000" w:themeColor="text1"/>
          <w:sz w:val="24"/>
          <w:szCs w:val="24"/>
        </w:rPr>
        <w:t xml:space="preserve"> Both the plasmid maps were confirmed by Sanger sequencing. </w:t>
      </w:r>
    </w:p>
    <w:sectPr w:rsidR="007C37A1" w:rsidRPr="00CA2A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AA9"/>
    <w:rsid w:val="007C37A1"/>
    <w:rsid w:val="00CA2A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BD9B9"/>
  <w15:chartTrackingRefBased/>
  <w15:docId w15:val="{B2EBEB4A-5EEA-4555-B3FB-93A0AB7CC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A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Anuradha Sooda</dc:creator>
  <cp:keywords/>
  <dc:description/>
  <cp:lastModifiedBy>Anuradha Sooda</cp:lastModifiedBy>
  <cp:revision>1</cp:revision>
  <dcterms:created xsi:type="dcterms:W3CDTF">2021-12-16T07:20:00Z</dcterms:created>
  <dcterms:modified xsi:type="dcterms:W3CDTF">2021-12-16T07:25:00Z</dcterms:modified>
</cp:coreProperties>
</file>